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829A2">
      <w:pPr>
        <w:pStyle w:val="55"/>
        <w:framePr w:wrap="around"/>
        <w:rPr>
          <w:rFonts w:hint="eastAsia" w:ascii="黑体" w:hAnsi="黑体" w:eastAsia="黑体" w:cs="黑体"/>
          <w:sz w:val="21"/>
          <w:szCs w:val="21"/>
        </w:rPr>
      </w:pPr>
      <w:r>
        <w:rPr>
          <w:rFonts w:hint="eastAsia" w:ascii="黑体" w:hAnsi="黑体" w:eastAsia="黑体" w:cs="黑体"/>
          <w:sz w:val="21"/>
          <w:szCs w:val="21"/>
        </w:rPr>
        <w:t>ICS 03.160</w:t>
      </w:r>
    </w:p>
    <w:p w14:paraId="5B888420">
      <w:pPr>
        <w:pStyle w:val="55"/>
        <w:framePr w:wrap="around"/>
        <w:rPr>
          <w:rFonts w:hint="eastAsia" w:ascii="黑体" w:hAnsi="黑体" w:eastAsia="黑体" w:cs="黑体"/>
          <w:b/>
          <w:color w:val="000000"/>
          <w:w w:val="130"/>
          <w:sz w:val="21"/>
          <w:szCs w:val="21"/>
          <w:lang w:val="en-US" w:eastAsia="zh-CN" w:bidi="ar-SA"/>
        </w:rPr>
      </w:pPr>
      <w:r>
        <w:rPr>
          <w:rFonts w:hint="eastAsia" w:ascii="黑体" w:hAnsi="黑体" w:eastAsia="黑体" w:cs="黑体"/>
          <w:sz w:val="21"/>
          <w:szCs w:val="21"/>
        </w:rPr>
        <w:t>CCS A 00</w:t>
      </w:r>
    </w:p>
    <w:p w14:paraId="17B4248D">
      <w:pPr>
        <w:pStyle w:val="47"/>
        <w:framePr w:w="4856" w:h="1449" w:hRule="exact" w:wrap="around" w:vAnchor="page" w:hAnchor="page" w:x="6407" w:y="785"/>
        <w:rPr>
          <w:rFonts w:hint="default"/>
          <w:lang w:val="en-US"/>
        </w:rPr>
      </w:pPr>
      <w:r>
        <w:rPr>
          <w:rFonts w:hint="eastAsia" w:ascii="Times New Roman" w:hAnsi="Times New Roman" w:eastAsia="宋体" w:cs="Times New Roman"/>
          <w:b/>
          <w:color w:val="000000"/>
          <w:w w:val="130"/>
          <w:sz w:val="96"/>
          <w:szCs w:val="96"/>
          <w:lang w:val="en-US" w:eastAsia="zh-CN" w:bidi="ar-SA"/>
        </w:rPr>
        <w:t>DB32</w:t>
      </w:r>
    </w:p>
    <w:p w14:paraId="42A3D6D1">
      <w:pPr>
        <w:pStyle w:val="97"/>
        <w:framePr w:wrap="around"/>
      </w:pPr>
      <w:r>
        <w:rPr>
          <w:rFonts w:hint="eastAsia" w:ascii="黑体" w:hAnsi="宋体" w:eastAsia="黑体" w:cs="Times New Roman"/>
          <w:b w:val="0"/>
          <w:bCs w:val="0"/>
          <w:color w:val="000000"/>
          <w:spacing w:val="-40"/>
          <w:w w:val="100"/>
          <w:sz w:val="48"/>
          <w:szCs w:val="52"/>
          <w:lang w:val="en-US" w:eastAsia="zh-CN" w:bidi="ar-SA"/>
        </w:rPr>
        <w:t>江苏省地方标准</w:t>
      </w:r>
    </w:p>
    <w:p w14:paraId="12279C03">
      <w:pPr>
        <w:pStyle w:val="119"/>
        <w:framePr w:wrap="around"/>
      </w:pPr>
      <w:r>
        <w:rPr>
          <w:rFonts w:hint="eastAsia" w:ascii="Times New Roman"/>
        </w:rPr>
        <w:t>DB32</w:t>
      </w:r>
      <w:r>
        <w:rPr>
          <w:rFonts w:ascii="Times New Roman"/>
        </w:rPr>
        <w:t xml:space="preserve">/T </w:t>
      </w:r>
      <w:r>
        <w:fldChar w:fldCharType="begin">
          <w:ffData>
            <w:name w:val="StdNo1"/>
            <w:enabled/>
            <w:calcOnExit w:val="0"/>
            <w:textInput>
              <w:default w:val="XXXXX"/>
            </w:textInput>
          </w:ffData>
        </w:fldChar>
      </w:r>
      <w:bookmarkStart w:id="0" w:name="StdNo1"/>
      <w:r>
        <w:instrText xml:space="preserve"> FORMTEXT </w:instrText>
      </w:r>
      <w:r>
        <w:fldChar w:fldCharType="separate"/>
      </w:r>
      <w:r>
        <w:t>XXXXX</w:t>
      </w:r>
      <w:r>
        <w:fldChar w:fldCharType="end"/>
      </w:r>
      <w:bookmarkEnd w:id="0"/>
      <w:r>
        <w:t>—</w:t>
      </w:r>
      <w:r>
        <w:fldChar w:fldCharType="begin">
          <w:ffData>
            <w:name w:val="StdNo2"/>
            <w:enabled/>
            <w:calcOnExit w:val="0"/>
            <w:textInput>
              <w:default w:val="XXXX"/>
              <w:maxLength w:val="4"/>
            </w:textInput>
          </w:ffData>
        </w:fldChar>
      </w:r>
      <w:bookmarkStart w:id="1" w:name="StdNo2"/>
      <w:r>
        <w:instrText xml:space="preserve"> FORMTEXT </w:instrText>
      </w:r>
      <w:r>
        <w:fldChar w:fldCharType="separate"/>
      </w:r>
      <w:r>
        <w:t>XXXX</w:t>
      </w:r>
      <w:r>
        <w:fldChar w:fldCharType="end"/>
      </w:r>
      <w:bookmarkEnd w:id="1"/>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36142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6B0F38B2">
            <w:pPr>
              <w:pStyle w:val="113"/>
              <w:framePr w:wrap="around"/>
            </w:pPr>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VGNOetAQAAdQMAAA4AAABkcnMvZTJvRG9jLnhtbK1TTW/b&#10;MAy9D9h/EHRfbGdDUQRxeliQXYatQLsfoMi0LUBfI5U4+fejZC/ruksP88EmReqR75HePlycFWdA&#10;MsG3slnVUoDXoTN+aOWP58OHeykoKd8pGzy08gokH3bv322nuIF1GIPtAAWDeNpMsZVjSnFTVaRH&#10;cIpWIYLnYB/QqcQuDlWHamJ0Z6t1Xd9VU8AuYtBAxKf7OSgXRHwLYOh7o2Ef9MmBTzMqglWJKdFo&#10;Isld6bbvQafvfU+QhG0lM03lzUXYPuZ3tduqzYAqjkYvLai3tPCKk1PGc9Eb1F4lJU5o/oFyRmOg&#10;0KeVDq6aiRRFmEVTv9LmaVQRCheWmuJNdPp/sPrb+RGF6XgTpPDK8cD3z1mVKdKGg0/xEReP2MwU&#10;Lz26/OXmxaUoeb0pCZckNB82zaePdc0ia46t1/d3bDNM9ed2REpfIDiRjVYiT6oIqM5fKc2pv1Ny&#10;MQrWdAdjbXFwOH62KM6Kp3ooz4L+V5r1OdmHfG1GnE+g7MVSJvOcmWXrGLor6zHxQrSSfp4UghSn&#10;iGYYucmmVMl5PI3CZtmcPO6XPtsv/5bd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B5g8svWAAAA&#10;CAEAAA8AAAAAAAAAAQAgAAAAIgAAAGRycy9kb3ducmV2LnhtbFBLAQIUABQAAAAIAIdO4kD1RjTn&#10;rQEAAHUDAAAOAAAAAAAAAAEAIAAAACUBAABkcnMvZTJvRG9jLnhtbFBLBQYAAAAABgAGAFkBAABE&#10;BQAAAAA=&#10;">
                      <v:fill on="t" focussize="0,0"/>
                      <v:stroke on="f"/>
                      <v:imagedata o:title=""/>
                      <o:lock v:ext="edit" aspectratio="f"/>
                    </v:rect>
                  </w:pict>
                </mc:Fallback>
              </mc:AlternateContent>
            </w:r>
            <w:r>
              <w:fldChar w:fldCharType="begin">
                <w:ffData>
                  <w:name w:val="DT"/>
                  <w:enabled/>
                  <w:calcOnExit w:val="0"/>
                  <w:textInput/>
                </w:ffData>
              </w:fldChar>
            </w:r>
            <w:bookmarkStart w:id="2" w:name="DT"/>
            <w:r>
              <w:instrText xml:space="preserve"> FORMTEXT </w:instrText>
            </w:r>
            <w:r>
              <w:fldChar w:fldCharType="separate"/>
            </w:r>
            <w:r>
              <w:t>     </w:t>
            </w:r>
            <w:r>
              <w:fldChar w:fldCharType="end"/>
            </w:r>
            <w:bookmarkEnd w:id="2"/>
          </w:p>
        </w:tc>
      </w:tr>
      <w:tr w14:paraId="415033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3793180E">
            <w:pPr>
              <w:pStyle w:val="113"/>
              <w:framePr w:wrap="around"/>
            </w:pPr>
          </w:p>
        </w:tc>
      </w:tr>
    </w:tbl>
    <w:p w14:paraId="0CEED006">
      <w:pPr>
        <w:pStyle w:val="119"/>
        <w:framePr w:wrap="around"/>
      </w:pPr>
    </w:p>
    <w:p w14:paraId="0AEE709F">
      <w:pPr>
        <w:pStyle w:val="119"/>
        <w:framePr w:wrap="around"/>
      </w:pPr>
    </w:p>
    <w:p w14:paraId="493C494F">
      <w:pPr>
        <w:pStyle w:val="60"/>
        <w:framePr w:w="10284" w:wrap="around" w:x="1182" w:y="6033"/>
        <w:rPr>
          <w:rFonts w:hint="eastAsia"/>
        </w:rPr>
      </w:pPr>
    </w:p>
    <w:p w14:paraId="3365F48A">
      <w:pPr>
        <w:pStyle w:val="60"/>
        <w:keepNext w:val="0"/>
        <w:keepLines w:val="0"/>
        <w:pageBreakBefore w:val="0"/>
        <w:framePr w:w="10284" w:wrap="around" w:x="1182" w:y="6033"/>
        <w:widowControl w:val="0"/>
        <w:kinsoku/>
        <w:wordWrap/>
        <w:overflowPunct/>
        <w:topLinePunct w:val="0"/>
        <w:autoSpaceDE/>
        <w:autoSpaceDN/>
        <w:bidi w:val="0"/>
        <w:adjustRightInd/>
        <w:snapToGrid/>
        <w:spacing w:line="360" w:lineRule="auto"/>
        <w:textAlignment w:val="center"/>
      </w:pPr>
      <w:r>
        <w:rPr>
          <w:rFonts w:hint="eastAsia"/>
        </w:rPr>
        <w:t>行政事业性国有资产处置管理指南</w:t>
      </w:r>
    </w:p>
    <w:p w14:paraId="180AA5B0">
      <w:pPr>
        <w:pStyle w:val="60"/>
        <w:keepNext w:val="0"/>
        <w:keepLines w:val="0"/>
        <w:pageBreakBefore w:val="0"/>
        <w:framePr w:w="10284" w:wrap="around" w:x="1182" w:y="6033"/>
        <w:widowControl w:val="0"/>
        <w:kinsoku/>
        <w:wordWrap/>
        <w:overflowPunct/>
        <w:topLinePunct w:val="0"/>
        <w:autoSpaceDE/>
        <w:autoSpaceDN/>
        <w:bidi w:val="0"/>
        <w:adjustRightInd/>
        <w:snapToGrid/>
        <w:spacing w:line="360" w:lineRule="auto"/>
        <w:textAlignment w:val="center"/>
        <w:rPr>
          <w:rFonts w:hint="eastAsia"/>
          <w:color w:val="000000"/>
          <w:sz w:val="28"/>
          <w:szCs w:val="28"/>
        </w:rPr>
      </w:pPr>
      <w:r>
        <w:rPr>
          <w:rFonts w:hint="eastAsia"/>
          <w:color w:val="000000"/>
          <w:sz w:val="28"/>
          <w:szCs w:val="28"/>
        </w:rPr>
        <w:t xml:space="preserve"> Guidelines for the Management of the Disposal of State-owned Assets in Administrative Institutions</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08A5D1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tcPr>
          <w:p w14:paraId="1CB5CD4E">
            <w:pPr>
              <w:pStyle w:val="83"/>
              <w:keepNext w:val="0"/>
              <w:keepLines w:val="0"/>
              <w:pageBreakBefore w:val="0"/>
              <w:framePr w:w="10284" w:wrap="around" w:x="1182" w:y="6033"/>
              <w:widowControl w:val="0"/>
              <w:kinsoku/>
              <w:wordWrap/>
              <w:overflowPunct/>
              <w:topLinePunct w:val="0"/>
              <w:autoSpaceDE/>
              <w:autoSpaceDN/>
              <w:bidi w:val="0"/>
              <w:adjustRightInd/>
              <w:snapToGrid/>
              <w:spacing w:line="360" w:lineRule="auto"/>
              <w:textAlignment w:val="center"/>
            </w:pPr>
            <w:r>
              <mc:AlternateContent>
                <mc:Choice Requires="wps">
                  <w:drawing>
                    <wp:anchor distT="0" distB="0" distL="114300" distR="114300" simplePos="0" relativeHeight="251660288" behindDoc="1" locked="0" layoutInCell="1" allowOverlap="1">
                      <wp:simplePos x="0" y="0"/>
                      <wp:positionH relativeFrom="column">
                        <wp:posOffset>2150110</wp:posOffset>
                      </wp:positionH>
                      <wp:positionV relativeFrom="paragraph">
                        <wp:posOffset>265430</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wrap="square" upright="1"/>
                          </wps:wsp>
                        </a:graphicData>
                      </a:graphic>
                    </wp:anchor>
                  </w:drawing>
                </mc:Choice>
                <mc:Fallback>
                  <w:pict>
                    <v:rect id="LB" o:spid="_x0000_s1026" o:spt="1" style="position:absolute;left:0pt;margin-left:169.3pt;margin-top:20.9pt;height:24pt;width:100pt;z-index:-251656192;mso-width-relative:page;mso-height-relative:page;" fillcolor="#FFFFFF" filled="t" stroked="f" coordsize="21600,21600" o:gfxdata="UEsDBAoAAAAAAIdO4kAAAAAAAAAAAAAAAAAEAAAAZHJzL1BLAwQUAAAACACHTuJA7AToFtYAAAAJ&#10;AQAADwAAAGRycy9kb3ducmV2LnhtbE2PwU7DMAyG70i8Q+RJ3FhSulVdqbsD0k7AgQ2Jq9dkbbXG&#10;KU26lbcncIGj7U+/v7/czrYXFzP6zjFCslQgDNdOd9wgvB929zkIH4g19Y4NwpfxsK1ub0oqtLvy&#10;m7nsQyNiCPuCENoQhkJKX7fGkl+6wXC8ndxoKcRxbKQe6RrDbS8flMqkpY7jh5YG89Sa+ryfLAJl&#10;K/35ekpfDs9TRptmVrv1h0K8WyTqEUQwc/iD4Uc/qkMVnY5uYu1Fj5CmeRZRhFUSK0Rg/bs4IuSb&#10;HGRVyv8Nqm9QSwMEFAAAAAgAh07iQNHBJdKtAQAAdQMAAA4AAABkcnMvZTJvRG9jLnhtbK1TTW/b&#10;MAy9D9h/EHRf7GTDVgRxCqxBdim2Al1/gCLTtgB9lVTi5N+Pkr2s6y49TAeZFKlHvkd5c3t2VpwA&#10;yQTfyOWilgK8Dq3xfSOffu4/3EhBSflW2eChkRcgebt9/24zxjWswhBsCygYxNN6jI0cUorrqiI9&#10;gFO0CBE8B7uATiV2sa9aVCOjO1ut6vpzNQZsIwYNRHy6m4JyRsS3AIauMxp2QR8d+DShIliVmBIN&#10;JpLclm67DnT60XUESdhGMtNUdi7C9iHv1Xaj1j2qOBg9t6De0sIrTk4Zz0WvUDuVlDii+QfKGY2B&#10;QpcWOrhqIlIUYRbL+pU2j4OKULiw1BSvotP/g9XfTw8oTNvIlRReOR74/desyhhpzcHH+ICzR2xm&#10;iucOXf5y8+JclLxclYRzEpoPl6svNS8pNMc+1p9u2GaY6s/tiJS+QXAiG41EnlQRUJ3uKU2pv1Ny&#10;MQrWtHtjbXGwP9xZFCfFU92XNaP/lWZ9TvYhX5sQpxMo72Iuk3lOzLJ1CO2F9Rj5QTSSno8KQYpj&#10;RNMP3OSyVMl5PI3CZn45edwvfbZf/i3b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OwE6BbWAAAA&#10;CQEAAA8AAAAAAAAAAQAgAAAAIgAAAGRycy9kb3ducmV2LnhtbFBLAQIUABQAAAAIAIdO4kDRwSXS&#10;rQEAAHUDAAAOAAAAAAAAAAEAIAAAACUBAABkcnMvZTJvRG9jLnhtbFBLBQYAAAAABgAGAFkBAABE&#10;BQAAAAA=&#10;">
                      <v:fill on="t" focussize="0,0"/>
                      <v:stroke on="f"/>
                      <v:imagedata o:title=""/>
                      <o:lock v:ext="edit" aspectratio="f"/>
                    </v:rect>
                  </w:pict>
                </mc:Fallback>
              </mc:AlternateContent>
            </w: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wrap="square" upright="1"/>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F8DS64BAAB1AwAADgAAAGRycy9lMm9Eb2MueG1srVNNk9Mw&#10;DL0zw3/w+E6TFpaBTNM9bKdcGFhY+AGuozSe8ReS27T/HtkJZVkue9gcHMmSn/Se7PXt2VlxAiQT&#10;fCuXi1oK8Dp0xh9a+fPH7s0HKSgp3ykbPLTyAiRvN69frcfYwCoMwXaAgkE8NWNs5ZBSbKqK9ABO&#10;0SJE8BzsAzqV2MVD1aEaGd3ZalXX76sxYBcxaCDi3e0UlDMiPgcw9L3RsA366MCnCRXBqsSUaDCR&#10;5KZ02/eg09e+J0jCtpKZprJyEbb3ea02a9UcUMXB6LkF9ZwWnnByyngueoXaqqTEEc1/UM5oDBT6&#10;tNDBVRORogizWNZPtHkYVITChaWmeBWdXg5WfzndozBdK99K4ZXjgX//llUZIzUcfIj3OHvEZqZ4&#10;7tHlPzcvzkXJy1VJOCeheXP5sb6paxZZc2x18y7bDFP9PR2R0icITmSjlciTKgKq02dKU+qflFyM&#10;gjXdzlhbHDzs7yyKk+Kp7so3o/+TZn1O9iEfmxCnHSj3Yi6TeU7MsrUP3YX1GPlCtJJ+HRWCFMeI&#10;5jBwk8tSJefxNAqb+ebkcT/22X78Wj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WJrpLVAAAA&#10;CgEAAA8AAAAAAAAAAQAgAAAAIgAAAGRycy9kb3ducmV2LnhtbFBLAQIUABQAAAAIAIdO4kAkXwNL&#10;rgEAAHUDAAAOAAAAAAAAAAEAIAAAACQBAABkcnMvZTJvRG9jLnhtbFBLBQYAAAAABgAGAFkBAABE&#10;BQAAAAA=&#10;">
                      <v:fill on="t" focussize="0,0"/>
                      <v:stroke on="f"/>
                      <v:imagedata o:title=""/>
                      <o:lock v:ext="edit" aspectratio="f"/>
                      <w10:anchorlock/>
                    </v:rect>
                  </w:pict>
                </mc:Fallback>
              </mc:AlternateContent>
            </w:r>
          </w:p>
        </w:tc>
      </w:tr>
      <w:tr w14:paraId="04DC7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0D960303">
            <w:pPr>
              <w:pStyle w:val="106"/>
              <w:framePr w:w="10284" w:wrap="around" w:x="1182" w:y="6033"/>
            </w:pPr>
          </w:p>
        </w:tc>
      </w:tr>
      <w:tr w14:paraId="72671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A195F0B">
            <w:pPr>
              <w:pStyle w:val="106"/>
              <w:keepLines w:val="0"/>
              <w:framePr w:w="10284" w:wrap="around" w:x="1182" w:y="6033"/>
              <w:kinsoku/>
              <w:wordWrap/>
              <w:overflowPunct/>
              <w:topLinePunct w:val="0"/>
              <w:bidi w:val="0"/>
              <w:adjustRightInd/>
              <w:snapToGrid/>
              <w:spacing w:line="360" w:lineRule="auto"/>
            </w:pPr>
          </w:p>
        </w:tc>
      </w:tr>
    </w:tbl>
    <w:p w14:paraId="6B81A724">
      <w:pPr>
        <w:pStyle w:val="126"/>
        <w:keepLines w:val="0"/>
        <w:framePr w:wrap="around" w:hAnchor="page" w:x="1111" w:y="14082"/>
        <w:kinsoku/>
        <w:wordWrap/>
        <w:overflowPunct/>
        <w:topLinePunct w:val="0"/>
        <w:bidi w:val="0"/>
        <w:adjustRightInd/>
        <w:snapToGrid/>
        <w:spacing w:line="360" w:lineRule="auto"/>
      </w:pPr>
      <w:r>
        <w:rPr>
          <w:rFonts w:ascii="黑体"/>
        </w:rPr>
        <w:fldChar w:fldCharType="begin">
          <w:ffData>
            <w:name w:val="FY"/>
            <w:enabled/>
            <w:calcOnExit w:val="0"/>
            <w:textInput>
              <w:default w:val="XXXX"/>
              <w:maxLength w:val="4"/>
            </w:textInput>
          </w:ffData>
        </w:fldChar>
      </w:r>
      <w:bookmarkStart w:id="3" w:name="FY"/>
      <w:r>
        <w:rPr>
          <w:rFonts w:ascii="黑体"/>
        </w:rPr>
        <w:instrText xml:space="preserve"> FORMTEXT </w:instrText>
      </w:r>
      <w:r>
        <w:rPr>
          <w:rFonts w:ascii="黑体"/>
        </w:rPr>
        <w:fldChar w:fldCharType="separate"/>
      </w:r>
      <w:r>
        <w:rPr>
          <w:rFonts w:ascii="黑体"/>
        </w:rPr>
        <w:t>XXXX</w:t>
      </w:r>
      <w:r>
        <w:rPr>
          <w:rFonts w:ascii="黑体"/>
        </w:rPr>
        <w:fldChar w:fldCharType="end"/>
      </w:r>
      <w:bookmarkEnd w:id="3"/>
      <w:r>
        <w:rPr>
          <w:rFonts w:ascii="黑体"/>
        </w:rPr>
        <w:t>-</w:t>
      </w:r>
      <w:r>
        <w:rPr>
          <w:rFonts w:ascii="黑体"/>
        </w:rPr>
        <w:fldChar w:fldCharType="begin">
          <w:ffData>
            <w:name w:val="FM"/>
            <w:enabled/>
            <w:calcOnExit w:val="0"/>
            <w:textInput>
              <w:default w:val="XX"/>
              <w:maxLength w:val="2"/>
            </w:textInput>
          </w:ffData>
        </w:fldChar>
      </w:r>
      <w:bookmarkStart w:id="4" w:name="FM"/>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ascii="黑体"/>
        </w:rPr>
        <w:t>-</w:t>
      </w:r>
      <w:r>
        <w:rPr>
          <w:rFonts w:ascii="黑体"/>
        </w:rPr>
        <w:fldChar w:fldCharType="begin">
          <w:ffData>
            <w:name w:val="FD"/>
            <w:enabled/>
            <w:calcOnExit w:val="0"/>
            <w:textInput>
              <w:default w:val="XX"/>
              <w:maxLength w:val="2"/>
            </w:textInput>
          </w:ffData>
        </w:fldChar>
      </w:r>
      <w:bookmarkStart w:id="5"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0" t="0" r="0" b="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0"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qQI3XsAQAA6gMAAA4AAABkcnMvZTJvRG9jLnhtbK1TzY7T&#10;MBC+I/EOlu80TWFXEDXdw5blgqASywNMbSex5D953KZ9Fl6DExceZ1+DsdPtLsulB3Jwxp7xN/N9&#10;M17eHKxhexVRe9fyejbnTDnhpXZ9y7/f3715zxkmcBKMd6rlR4X8ZvX61XIMjVr4wRupIiMQh80Y&#10;Wj6kFJqqQjEoCzjzQTlydj5aSLSNfSUjjIRuTbWYz6+r0UcZohcKkU7Xk5OfEOMlgL7rtFBrL3ZW&#10;uTShRmUgESUcdEC+KtV2nRLpa9ehSsy0nJimslISsrd5rVZLaPoIYdDiVAJcUsILTha0o6RnqDUk&#10;YLuo/4GyWkSPvksz4W01ESmKEIt6/kKbbwMEVbiQ1BjOouP/gxVf9pvItGz5O84cWGr4w4+fD79+&#10;s7qIMwZsKObWbSJJlXcYNjEzPXTR5j9xYIci6PEsqDokJujwuiZWb0lr8eirni6GiOmT8pZlo+VG&#10;u8wVGth/xkTJKPQxJB8bx8aWf7haXBEc0OB11HAybaDi0fXlLnqj5Z02Jt/A2G9vTWR7yM0vX+43&#10;4f4VlpOsAYcprrimsRgUyI9OsnQMJIuj18BzCVZJzoyix5OtMkAJtLkkklIbl0tTZTRPPJ9UzdbW&#10;yyO1ZBei7gfSpS41Zw+NQKn+NK55xp7vyX7+RFd/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WH&#10;azzWAAAACwEAAA8AAAAAAAAAAQAgAAAAIgAAAGRycy9kb3ducmV2LnhtbFBLAQIUABQAAAAIAIdO&#10;4kDqkCN17AEAAOoDAAAOAAAAAAAAAAEAIAAAACUBAABkcnMvZTJvRG9jLnhtbFBLBQYAAAAABgAG&#10;AFkBAACDBQAAAAA=&#10;">
                <v:fill on="f" focussize="0,0"/>
                <v:stroke color="#000000" joinstyle="round"/>
                <v:imagedata o:title=""/>
                <o:lock v:ext="edit" aspectratio="f"/>
                <w10:anchorlock/>
              </v:line>
            </w:pict>
          </mc:Fallback>
        </mc:AlternateContent>
      </w:r>
    </w:p>
    <w:p w14:paraId="740318C6">
      <w:pPr>
        <w:pStyle w:val="64"/>
        <w:keepLines w:val="0"/>
        <w:framePr w:wrap="around" w:hAnchor="page" w:x="6601" w:y="13992"/>
        <w:kinsoku/>
        <w:wordWrap/>
        <w:overflowPunct/>
        <w:topLinePunct w:val="0"/>
        <w:bidi w:val="0"/>
        <w:adjustRightInd/>
        <w:snapToGrid/>
        <w:spacing w:line="360" w:lineRule="auto"/>
      </w:pPr>
      <w:r>
        <w:rPr>
          <w:rFonts w:ascii="黑体"/>
        </w:rPr>
        <w:fldChar w:fldCharType="begin">
          <w:ffData>
            <w:name w:val="SY"/>
            <w:enabled/>
            <w:calcOnExit w:val="0"/>
            <w:textInput>
              <w:default w:val="XXXX"/>
              <w:maxLength w:val="4"/>
            </w:textInput>
          </w:ffData>
        </w:fldChar>
      </w:r>
      <w:bookmarkStart w:id="6" w:name="SY"/>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rPr>
          <w:rFonts w:ascii="黑体"/>
        </w:rPr>
        <w:t>-</w:t>
      </w:r>
      <w:r>
        <w:rPr>
          <w:rFonts w:ascii="黑体"/>
        </w:rPr>
        <w:fldChar w:fldCharType="begin">
          <w:ffData>
            <w:name w:val="SM"/>
            <w:enabled/>
            <w:calcOnExit w:val="0"/>
            <w:textInput>
              <w:default w:val="XX"/>
              <w:maxLength w:val="2"/>
            </w:textInput>
          </w:ffData>
        </w:fldChar>
      </w:r>
      <w:bookmarkStart w:id="7" w:name="S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ascii="黑体"/>
        </w:rPr>
        <w:t>-</w:t>
      </w:r>
      <w:r>
        <w:rPr>
          <w:rFonts w:ascii="黑体"/>
        </w:rPr>
        <w:fldChar w:fldCharType="begin">
          <w:ffData>
            <w:name w:val="SD"/>
            <w:enabled/>
            <w:calcOnExit w:val="0"/>
            <w:textInput>
              <w:default w:val="XX"/>
              <w:maxLength w:val="2"/>
            </w:textInput>
          </w:ffData>
        </w:fldChar>
      </w:r>
      <w:bookmarkStart w:id="8"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实施</w:t>
      </w:r>
    </w:p>
    <w:p w14:paraId="1C7744C3">
      <w:pPr>
        <w:pStyle w:val="86"/>
        <w:keepLines w:val="0"/>
        <w:framePr w:wrap="around" w:x="1564" w:y="14810"/>
        <w:kinsoku/>
        <w:wordWrap/>
        <w:overflowPunct/>
        <w:topLinePunct w:val="0"/>
        <w:bidi w:val="0"/>
        <w:adjustRightInd/>
        <w:snapToGrid/>
        <w:spacing w:line="360" w:lineRule="auto"/>
      </w:pPr>
      <w:r>
        <w:rPr>
          <w:rFonts w:hint="eastAsia" w:ascii="黑体" w:hAnsi="黑体" w:eastAsia="黑体" w:cs="黑体"/>
          <w:b w:val="0"/>
          <w:bCs/>
          <w:lang w:val="en-US" w:eastAsia="zh-CN"/>
        </w:rPr>
        <w:t xml:space="preserve"> </w:t>
      </w:r>
      <w:r>
        <w:rPr>
          <w:rFonts w:hint="eastAsia" w:ascii="黑体" w:hAnsi="黑体" w:eastAsia="黑体" w:cs="黑体"/>
          <w:b w:val="0"/>
          <w:bCs/>
          <w:sz w:val="28"/>
          <w:szCs w:val="28"/>
          <w:lang w:val="en-US" w:eastAsia="zh-CN"/>
        </w:rPr>
        <w:t xml:space="preserve"> 江苏省市场监督管理</w:t>
      </w:r>
      <w:r>
        <w:rPr>
          <w:rFonts w:hint="eastAsia" w:ascii="黑体" w:hAnsi="黑体" w:eastAsia="黑体" w:cs="黑体"/>
          <w:b w:val="0"/>
          <w:bCs/>
          <w:sz w:val="28"/>
          <w:szCs w:val="28"/>
        </w:rPr>
        <w:t>局</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发布</w:t>
      </w:r>
    </w:p>
    <w:p w14:paraId="47640C06">
      <w:pPr>
        <w:pStyle w:val="23"/>
        <w:keepLines w:val="0"/>
        <w:kinsoku/>
        <w:wordWrap/>
        <w:overflowPunct/>
        <w:topLinePunct w:val="0"/>
        <w:bidi w:val="0"/>
        <w:adjustRightInd/>
        <w:snapToGrid/>
        <w:spacing w:line="360" w:lineRule="auto"/>
        <w:ind w:firstLine="0" w:firstLineChars="0"/>
        <w:sectPr>
          <w:pgSz w:w="11906" w:h="16838"/>
          <w:pgMar w:top="567" w:right="850" w:bottom="1134" w:left="1418" w:header="0" w:footer="0" w:gutter="0"/>
          <w:pgNumType w:start="1"/>
          <w:cols w:space="720" w:num="1"/>
          <w:docGrid w:type="lines" w:linePitch="312" w:charSpace="0"/>
        </w:sectPr>
      </w:pPr>
      <w:r>
        <mc:AlternateContent>
          <mc:Choice Requires="wps">
            <w:drawing>
              <wp:anchor distT="0" distB="0" distL="114300" distR="114300" simplePos="0" relativeHeight="251663360" behindDoc="0" locked="0" layoutInCell="1" allowOverlap="1">
                <wp:simplePos x="0" y="0"/>
                <wp:positionH relativeFrom="column">
                  <wp:posOffset>75565</wp:posOffset>
                </wp:positionH>
                <wp:positionV relativeFrom="paragraph">
                  <wp:posOffset>1701800</wp:posOffset>
                </wp:positionV>
                <wp:extent cx="6120130" cy="0"/>
                <wp:effectExtent l="0" t="0" r="0" b="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1" o:spid="_x0000_s1026" o:spt="20" style="position:absolute;left:0pt;margin-left:5.95pt;margin-top:134pt;height:0pt;width:481.9pt;z-index:251663360;mso-width-relative:page;mso-height-relative:page;" filled="f" stroked="t" coordsize="21600,21600" o:gfxdata="UEsDBAoAAAAAAIdO4kAAAAAAAAAAAAAAAAAEAAAAZHJzL1BLAwQUAAAACACHTuJAzEpMC9YAAAAK&#10;AQAADwAAAGRycy9kb3ducmV2LnhtbE2PS0/DMBCE70j8B2uRuFTUThB9hDg9ALn1QgFx3SZLEhGv&#10;09h9wK/vIiHBcWY/zc7kq5Pr1YHG0Hm2kEwNKOLK1x03Fl5fypsFqBCRa+w9k4UvCrAqLi9yzGp/&#10;5Gc6bGKjJIRDhhbaGIdM61C15DBM/UAstw8/Oowix0bXIx4l3PU6NWamHXYsH1oc6KGl6nOzdxZC&#10;+Ua78ntSTcz7beMp3T2un9Da66vE3IOKdIp/MPzUl+pQSKet33MdVC86WQppIZ0tZJMAy/ndHNT2&#10;19FFrv9PKM5QSwMEFAAAAAgAh07iQF2Oa8ftAQAA6gMAAA4AAABkcnMvZTJvRG9jLnhtbK1TS27b&#10;MBDdF+gdCO5r2S4StILlLOKmm6I10OYAY5KSCPAHDm3ZZ+k1uuqmx8k1OqQUN002XkQLasgZvpn3&#10;Zri6OVrDDiqi9q7hi9mcM+WEl9p1Db//cffuA2eYwEkw3qmGnxTym/XbN6sh1Grpe2+kioxAHNZD&#10;aHifUqirCkWvLODMB+XI2fpoIdE2dpWMMBC6NdVyPr+uBh9liF4oRDrdjE4+IcZLAH3baqE2Xuyt&#10;cmlEjcpAIkrY64B8XaptWyXSt7ZFlZhpODFNZaUkZO/yWq1XUHcRQq/FVAJcUsIzTha0o6RnqA0k&#10;YPuoX0BZLaJH36aZ8LYaiRRFiMVi/kyb7z0EVbiQ1BjOouPrwYqvh21kWjb8ijMHlhr+8PPXw+8/&#10;bLHI4gwBa4q5dds47TBsY2Z6bKPNf+LAjkXQ01lQdUxM0OH1gli9J63Fo6/6dzFETJ+VtywbDTfa&#10;Za5Qw+ELJkpGoY8h+dg4NjT849WSChVAg9dSw8m0gYpH15W76I2Wd9qYfANjt7s1kR0gN798mRLh&#10;/heWk2wA+zGuuMax6BXIT06ydAoki6PXwHMJVknOjKLHky0ChDqBNpdEUmrj8gVVRnPimTUeVc3W&#10;zssTtWQfou560qW0ocoeGoFS/TSuecae7sl++kTX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SkwL1gAAAAoBAAAPAAAAAAAAAAEAIAAAACIAAABkcnMvZG93bnJldi54bWxQSwECFAAUAAAACACH&#10;TuJAXY5rx+0BAADqAwAADgAAAAAAAAABACAAAAAlAQAAZHJzL2Uyb0RvYy54bWxQSwUGAAAAAAYA&#10;BgBZAQAAhAUAAAAA&#10;">
                <v:fill on="f" focussize="0,0"/>
                <v:stroke color="#000000" joinstyle="round"/>
                <v:imagedata o:title=""/>
                <o:lock v:ext="edit" aspectratio="f"/>
              </v:line>
            </w:pict>
          </mc:Fallback>
        </mc:AlternateContent>
      </w:r>
    </w:p>
    <w:p w14:paraId="408F0787">
      <w:pPr>
        <w:pStyle w:val="94"/>
        <w:keepLines w:val="0"/>
        <w:kinsoku/>
        <w:wordWrap/>
        <w:overflowPunct/>
        <w:topLinePunct w:val="0"/>
        <w:bidi w:val="0"/>
        <w:adjustRightInd/>
        <w:snapToGrid/>
        <w:spacing w:line="360" w:lineRule="auto"/>
      </w:pPr>
      <w:r>
        <w:rPr>
          <w:rFonts w:hint="eastAsia"/>
        </w:rPr>
        <w:t>前</w:t>
      </w:r>
      <w:bookmarkStart w:id="9" w:name="BKQY"/>
      <w:r>
        <w:rPr>
          <w:rFonts w:hAnsi="黑体"/>
        </w:rPr>
        <w:t>  </w:t>
      </w:r>
      <w:r>
        <w:rPr>
          <w:rFonts w:hint="eastAsia"/>
        </w:rPr>
        <w:t>言</w:t>
      </w:r>
      <w:bookmarkEnd w:id="9"/>
    </w:p>
    <w:p w14:paraId="4E7F2EE9">
      <w:pPr>
        <w:pStyle w:val="23"/>
        <w:keepLines w:val="0"/>
        <w:kinsoku/>
        <w:wordWrap/>
        <w:overflowPunct/>
        <w:topLinePunct w:val="0"/>
        <w:bidi w:val="0"/>
        <w:adjustRightInd/>
        <w:snapToGrid/>
        <w:spacing w:line="360" w:lineRule="auto"/>
      </w:pPr>
      <w:r>
        <w:rPr>
          <w:rFonts w:hint="eastAsia"/>
        </w:rPr>
        <w:t>本文件按GB/T 1.1-2020《标准化工作导则 第1部分：标准化文件的结构和起草规则》规定编写。</w:t>
      </w:r>
    </w:p>
    <w:p w14:paraId="65DE68A5">
      <w:pPr>
        <w:pStyle w:val="23"/>
        <w:keepLines w:val="0"/>
        <w:kinsoku/>
        <w:wordWrap/>
        <w:overflowPunct/>
        <w:topLinePunct w:val="0"/>
        <w:bidi w:val="0"/>
        <w:adjustRightInd/>
        <w:snapToGrid/>
        <w:spacing w:line="360" w:lineRule="auto"/>
        <w:rPr>
          <w:rFonts w:hint="eastAsia"/>
          <w:color w:val="auto"/>
        </w:rPr>
      </w:pPr>
      <w:r>
        <w:rPr>
          <w:rFonts w:hint="eastAsia"/>
          <w:color w:val="auto"/>
        </w:rPr>
        <w:t>本文件由连云港市机关事务管理局提出。</w:t>
      </w:r>
    </w:p>
    <w:p w14:paraId="4D18F27B">
      <w:pPr>
        <w:pStyle w:val="23"/>
        <w:keepLines w:val="0"/>
        <w:kinsoku/>
        <w:wordWrap/>
        <w:overflowPunct/>
        <w:topLinePunct w:val="0"/>
        <w:bidi w:val="0"/>
        <w:adjustRightInd/>
        <w:snapToGrid/>
        <w:spacing w:line="360" w:lineRule="auto"/>
        <w:rPr>
          <w:rFonts w:hint="eastAsia"/>
          <w:color w:val="auto"/>
        </w:rPr>
      </w:pPr>
      <w:r>
        <w:rPr>
          <w:rFonts w:hint="eastAsia"/>
          <w:color w:val="auto"/>
        </w:rPr>
        <w:t>本文件由江苏省机关事务管理局归口。</w:t>
      </w:r>
    </w:p>
    <w:p w14:paraId="32B9610F">
      <w:pPr>
        <w:pStyle w:val="23"/>
        <w:keepLines w:val="0"/>
        <w:kinsoku/>
        <w:wordWrap/>
        <w:overflowPunct/>
        <w:topLinePunct w:val="0"/>
        <w:bidi w:val="0"/>
        <w:adjustRightInd/>
        <w:snapToGrid/>
        <w:spacing w:line="360" w:lineRule="auto"/>
        <w:rPr>
          <w:rFonts w:hint="eastAsia"/>
          <w:color w:val="auto"/>
        </w:rPr>
      </w:pPr>
      <w:r>
        <w:rPr>
          <w:rFonts w:hint="eastAsia"/>
          <w:color w:val="auto"/>
        </w:rPr>
        <w:t>本文件起草单位：连云港市机关事务管理局、江苏省机关事务管理局、江苏省财政厅、连云港市财政局、连云港市标准化研究中心。</w:t>
      </w:r>
    </w:p>
    <w:p w14:paraId="7FA0113B">
      <w:pPr>
        <w:pStyle w:val="23"/>
        <w:keepLines w:val="0"/>
        <w:kinsoku/>
        <w:wordWrap/>
        <w:overflowPunct/>
        <w:topLinePunct w:val="0"/>
        <w:bidi w:val="0"/>
        <w:adjustRightInd/>
        <w:snapToGrid/>
        <w:spacing w:line="360" w:lineRule="auto"/>
        <w:rPr>
          <w:rFonts w:hint="eastAsia"/>
          <w:color w:val="0000FF"/>
          <w:sz w:val="32"/>
          <w:szCs w:val="32"/>
          <w:lang w:val="en-US" w:eastAsia="zh-CN"/>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r>
        <w:rPr>
          <w:rFonts w:hint="eastAsia"/>
          <w:color w:val="auto"/>
        </w:rPr>
        <w:t>本文件主要起草人：万伟兴、贾焕超、卞其婷、施恩辉、陈凌、顾松阳、许云锋、杨二勇、孙海燕、陈群、胡继国</w:t>
      </w:r>
      <w:r>
        <w:rPr>
          <w:rFonts w:hint="eastAsia"/>
          <w:lang w:val="en-US" w:eastAsia="zh-CN"/>
        </w:rPr>
        <w:t>。</w:t>
      </w:r>
    </w:p>
    <w:p w14:paraId="6E59E2E2">
      <w:pPr>
        <w:pStyle w:val="23"/>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黑体" w:hAnsi="黑体" w:eastAsia="黑体" w:cs="黑体"/>
          <w:lang w:val="en-US" w:eastAsia="zh-CN"/>
        </w:rPr>
      </w:pPr>
      <w:r>
        <w:rPr>
          <w:rFonts w:hint="eastAsia" w:ascii="黑体" w:hAnsi="黑体" w:eastAsia="黑体" w:cs="黑体"/>
          <w:sz w:val="32"/>
          <w:szCs w:val="32"/>
        </w:rPr>
        <w:t>行政事业性国有资产处置管理指南</w:t>
      </w:r>
    </w:p>
    <w:p w14:paraId="7F66DE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宋体" w:eastAsia="黑体"/>
          <w:color w:val="000000"/>
          <w:sz w:val="21"/>
          <w:szCs w:val="21"/>
        </w:rPr>
      </w:pPr>
    </w:p>
    <w:p w14:paraId="42DC897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宋体" w:eastAsia="黑体"/>
          <w:color w:val="000000"/>
          <w:sz w:val="21"/>
          <w:szCs w:val="21"/>
        </w:rPr>
      </w:pPr>
      <w:r>
        <w:rPr>
          <w:rFonts w:hint="eastAsia" w:ascii="黑体" w:hAnsi="宋体" w:eastAsia="黑体"/>
          <w:color w:val="000000"/>
          <w:sz w:val="21"/>
          <w:szCs w:val="21"/>
        </w:rPr>
        <w:t xml:space="preserve">1 </w:t>
      </w:r>
      <w:r>
        <w:rPr>
          <w:rFonts w:hint="eastAsia" w:ascii="黑体" w:hAnsi="宋体" w:eastAsia="黑体"/>
          <w:color w:val="000000"/>
          <w:sz w:val="21"/>
          <w:szCs w:val="21"/>
          <w:lang w:val="en-US" w:eastAsia="zh-CN"/>
        </w:rPr>
        <w:t xml:space="preserve"> </w:t>
      </w:r>
      <w:r>
        <w:rPr>
          <w:rFonts w:hint="eastAsia" w:ascii="黑体" w:hAnsi="宋体" w:eastAsia="黑体"/>
          <w:color w:val="000000"/>
          <w:sz w:val="21"/>
          <w:szCs w:val="21"/>
        </w:rPr>
        <w:t>范围</w:t>
      </w:r>
    </w:p>
    <w:p w14:paraId="392CBA1B">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本文件</w:t>
      </w:r>
      <w:r>
        <w:rPr>
          <w:rFonts w:hint="eastAsia" w:ascii="宋体" w:hAnsi="宋体" w:eastAsia="宋体" w:cs="宋体"/>
          <w:color w:val="auto"/>
          <w:sz w:val="21"/>
          <w:szCs w:val="21"/>
          <w:lang w:eastAsia="zh-CN"/>
        </w:rPr>
        <w:t>提供了</w:t>
      </w:r>
      <w:r>
        <w:rPr>
          <w:rFonts w:hint="eastAsia" w:ascii="宋体" w:hAnsi="宋体" w:eastAsia="宋体" w:cs="宋体"/>
          <w:color w:val="auto"/>
          <w:sz w:val="21"/>
          <w:szCs w:val="21"/>
          <w:lang w:val="en-US" w:eastAsia="zh-CN"/>
        </w:rPr>
        <w:t>江苏省</w:t>
      </w:r>
      <w:r>
        <w:rPr>
          <w:rFonts w:hint="eastAsia" w:ascii="宋体" w:hAnsi="宋体" w:eastAsia="宋体" w:cs="宋体"/>
          <w:color w:val="auto"/>
          <w:sz w:val="21"/>
          <w:szCs w:val="21"/>
        </w:rPr>
        <w:t>行政事业性国有资产处置管理的基本要求、处置方式及范围、审批权限、处置程序、收益</w:t>
      </w:r>
      <w:r>
        <w:rPr>
          <w:rFonts w:hint="eastAsia" w:ascii="宋体" w:hAnsi="宋体" w:eastAsia="宋体" w:cs="宋体"/>
          <w:color w:val="auto"/>
          <w:sz w:val="21"/>
          <w:szCs w:val="21"/>
          <w:lang w:eastAsia="zh-CN"/>
        </w:rPr>
        <w:t>上</w:t>
      </w:r>
      <w:r>
        <w:rPr>
          <w:rFonts w:hint="eastAsia" w:ascii="宋体" w:hAnsi="宋体" w:eastAsia="宋体" w:cs="宋体"/>
          <w:color w:val="auto"/>
          <w:sz w:val="21"/>
          <w:szCs w:val="21"/>
        </w:rPr>
        <w:t>缴</w:t>
      </w:r>
      <w:r>
        <w:rPr>
          <w:rFonts w:hint="eastAsia" w:ascii="宋体" w:hAnsi="宋体" w:eastAsia="宋体" w:cs="宋体"/>
          <w:color w:val="auto"/>
          <w:sz w:val="21"/>
          <w:szCs w:val="21"/>
          <w:lang w:eastAsia="zh-CN"/>
        </w:rPr>
        <w:t>以及</w:t>
      </w:r>
      <w:r>
        <w:rPr>
          <w:rFonts w:hint="eastAsia" w:ascii="宋体" w:hAnsi="宋体" w:eastAsia="宋体" w:cs="宋体"/>
          <w:color w:val="auto"/>
          <w:sz w:val="21"/>
          <w:szCs w:val="21"/>
        </w:rPr>
        <w:t>监督管理的</w:t>
      </w:r>
      <w:r>
        <w:rPr>
          <w:rFonts w:hint="eastAsia" w:ascii="宋体" w:hAnsi="宋体" w:eastAsia="宋体" w:cs="宋体"/>
          <w:color w:val="auto"/>
          <w:sz w:val="21"/>
          <w:szCs w:val="21"/>
          <w:lang w:eastAsia="zh-CN"/>
        </w:rPr>
        <w:t>建议</w:t>
      </w:r>
      <w:r>
        <w:rPr>
          <w:rFonts w:hint="eastAsia" w:ascii="宋体" w:hAnsi="宋体" w:eastAsia="宋体" w:cs="宋体"/>
          <w:color w:val="auto"/>
          <w:sz w:val="21"/>
          <w:szCs w:val="21"/>
        </w:rPr>
        <w:t>。</w:t>
      </w:r>
    </w:p>
    <w:p w14:paraId="2C409D4F">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本文件适用于江苏省各级党政机关、事业单位的国有资产处置管理</w:t>
      </w:r>
      <w:r>
        <w:rPr>
          <w:rFonts w:hint="eastAsia" w:ascii="宋体" w:hAnsi="宋体" w:eastAsia="宋体" w:cs="宋体"/>
          <w:color w:val="auto"/>
          <w:sz w:val="21"/>
          <w:szCs w:val="21"/>
          <w:lang w:eastAsia="zh-CN"/>
        </w:rPr>
        <w:t>。</w:t>
      </w:r>
    </w:p>
    <w:p w14:paraId="1CD33F4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宋体" w:eastAsia="黑体"/>
          <w:color w:val="000000"/>
          <w:sz w:val="21"/>
          <w:szCs w:val="21"/>
        </w:rPr>
      </w:pPr>
      <w:r>
        <w:rPr>
          <w:rFonts w:hint="eastAsia" w:ascii="黑体" w:hAnsi="宋体" w:eastAsia="黑体"/>
          <w:color w:val="000000"/>
          <w:sz w:val="21"/>
          <w:szCs w:val="21"/>
        </w:rPr>
        <w:t xml:space="preserve">2 </w:t>
      </w:r>
      <w:r>
        <w:rPr>
          <w:rFonts w:hint="eastAsia" w:ascii="黑体" w:hAnsi="宋体" w:eastAsia="黑体"/>
          <w:color w:val="000000"/>
          <w:sz w:val="21"/>
          <w:szCs w:val="21"/>
          <w:lang w:val="en-US" w:eastAsia="zh-CN"/>
        </w:rPr>
        <w:t xml:space="preserve"> </w:t>
      </w:r>
      <w:r>
        <w:rPr>
          <w:rFonts w:hint="eastAsia" w:ascii="黑体" w:hAnsi="宋体" w:eastAsia="黑体"/>
          <w:color w:val="000000"/>
          <w:sz w:val="21"/>
          <w:szCs w:val="21"/>
        </w:rPr>
        <w:t>规范性引用文件</w:t>
      </w:r>
    </w:p>
    <w:p w14:paraId="5956DB2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color w:val="000000"/>
          <w:sz w:val="21"/>
          <w:szCs w:val="21"/>
        </w:rPr>
      </w:pPr>
      <w:r>
        <w:rPr>
          <w:rFonts w:hint="eastAsia"/>
          <w:color w:val="000000"/>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7A6AC19">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GB/T 41568</w:t>
      </w:r>
      <w:r>
        <w:rPr>
          <w:rFonts w:hint="eastAsia" w:ascii="宋体" w:hAnsi="宋体" w:cs="宋体"/>
          <w:color w:val="000000"/>
          <w:sz w:val="21"/>
          <w:szCs w:val="21"/>
          <w:lang w:val="en-US" w:eastAsia="zh-CN"/>
        </w:rPr>
        <w:t>-2022</w:t>
      </w:r>
      <w:r>
        <w:rPr>
          <w:rFonts w:hint="eastAsia" w:ascii="宋体" w:hAnsi="宋体" w:eastAsia="宋体" w:cs="宋体"/>
          <w:color w:val="000000"/>
          <w:sz w:val="21"/>
          <w:szCs w:val="21"/>
        </w:rPr>
        <w:t xml:space="preserve"> 机关事务管理 术语</w:t>
      </w:r>
    </w:p>
    <w:p w14:paraId="15B519D4">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黑体" w:hAnsi="宋体" w:eastAsia="黑体" w:cs="Times New Roman"/>
          <w:color w:val="000000"/>
          <w:sz w:val="21"/>
          <w:szCs w:val="21"/>
        </w:rPr>
      </w:pPr>
      <w:r>
        <w:rPr>
          <w:rFonts w:hint="default" w:ascii="黑体" w:hAnsi="宋体" w:eastAsia="黑体" w:cs="Times New Roman"/>
          <w:color w:val="000000"/>
          <w:sz w:val="21"/>
          <w:szCs w:val="21"/>
        </w:rPr>
        <w:t>3</w:t>
      </w:r>
      <w:r>
        <w:rPr>
          <w:rFonts w:hint="eastAsia" w:ascii="黑体" w:hAnsi="宋体" w:eastAsia="黑体" w:cs="Times New Roman"/>
          <w:color w:val="000000"/>
          <w:sz w:val="21"/>
          <w:szCs w:val="21"/>
        </w:rPr>
        <w:t xml:space="preserve"> </w:t>
      </w:r>
      <w:r>
        <w:rPr>
          <w:rFonts w:hint="eastAsia" w:ascii="黑体" w:hAnsi="宋体" w:eastAsia="黑体" w:cs="Times New Roman"/>
          <w:color w:val="000000"/>
          <w:sz w:val="21"/>
          <w:szCs w:val="21"/>
          <w:lang w:val="en-US" w:eastAsia="zh-CN"/>
        </w:rPr>
        <w:t xml:space="preserve"> </w:t>
      </w:r>
      <w:r>
        <w:rPr>
          <w:rFonts w:hint="default" w:ascii="黑体" w:hAnsi="宋体" w:eastAsia="黑体" w:cs="Times New Roman"/>
          <w:color w:val="000000"/>
          <w:sz w:val="21"/>
          <w:szCs w:val="21"/>
        </w:rPr>
        <w:t>术语和定义</w:t>
      </w:r>
    </w:p>
    <w:p w14:paraId="15648088">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color w:val="000000"/>
          <w:sz w:val="21"/>
          <w:szCs w:val="21"/>
          <w:lang w:eastAsia="zh-CN"/>
        </w:rPr>
      </w:pPr>
      <w:r>
        <w:rPr>
          <w:rFonts w:hint="eastAsia" w:ascii="宋体" w:hAnsi="宋体"/>
          <w:color w:val="000000"/>
          <w:sz w:val="21"/>
          <w:szCs w:val="21"/>
        </w:rPr>
        <w:t>下列术语和定义适用于本</w:t>
      </w:r>
      <w:r>
        <w:rPr>
          <w:rFonts w:hint="eastAsia" w:ascii="宋体" w:hAnsi="宋体"/>
          <w:color w:val="000000"/>
          <w:sz w:val="21"/>
          <w:szCs w:val="21"/>
          <w:lang w:eastAsia="zh-CN"/>
        </w:rPr>
        <w:t>文件。</w:t>
      </w:r>
    </w:p>
    <w:p w14:paraId="2D0446AE">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000000"/>
          <w:sz w:val="21"/>
          <w:szCs w:val="21"/>
          <w:lang w:val="en-US" w:eastAsia="zh-CN"/>
        </w:rPr>
      </w:pPr>
      <w:r>
        <w:rPr>
          <w:rFonts w:hint="eastAsia" w:ascii="黑体" w:hAnsi="黑体" w:eastAsia="黑体" w:cs="黑体"/>
          <w:color w:val="000000"/>
          <w:sz w:val="21"/>
          <w:szCs w:val="21"/>
          <w:lang w:val="en-US" w:eastAsia="zh-CN"/>
        </w:rPr>
        <w:t xml:space="preserve">3.1  </w:t>
      </w:r>
    </w:p>
    <w:p w14:paraId="0D868456">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default" w:ascii="黑体" w:hAnsi="黑体" w:eastAsia="黑体" w:cs="黑体"/>
          <w:color w:val="000000"/>
          <w:sz w:val="21"/>
          <w:szCs w:val="21"/>
          <w:lang w:val="en-US" w:eastAsia="zh-CN"/>
        </w:rPr>
      </w:pPr>
      <w:r>
        <w:rPr>
          <w:rFonts w:hint="eastAsia" w:ascii="黑体" w:hAnsi="黑体" w:eastAsia="黑体" w:cs="黑体"/>
          <w:color w:val="000000"/>
          <w:sz w:val="21"/>
          <w:szCs w:val="21"/>
          <w:lang w:val="en-US" w:eastAsia="zh-CN"/>
        </w:rPr>
        <w:t>行政事业性国有资产 administrative and institutional state-owned assets</w:t>
      </w:r>
    </w:p>
    <w:p w14:paraId="37DC44D3">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000000"/>
          <w:sz w:val="21"/>
          <w:szCs w:val="21"/>
          <w:highlight w:val="yellow"/>
          <w:lang w:val="en-US" w:eastAsia="zh-CN"/>
        </w:rPr>
      </w:pPr>
      <w:r>
        <w:rPr>
          <w:rFonts w:hint="eastAsia" w:ascii="宋体" w:hAnsi="宋体" w:eastAsia="宋体" w:cs="宋体"/>
          <w:color w:val="000000"/>
          <w:sz w:val="21"/>
          <w:szCs w:val="21"/>
          <w:lang w:val="en-US" w:eastAsia="zh-CN"/>
        </w:rPr>
        <w:t>行政单位、事业单位通过一定方式取得或者形成的资产。</w:t>
      </w:r>
    </w:p>
    <w:p w14:paraId="60DA397E">
      <w:pPr>
        <w:keepNext w:val="0"/>
        <w:keepLines w:val="0"/>
        <w:pageBreakBefore w:val="0"/>
        <w:widowControl w:val="0"/>
        <w:kinsoku/>
        <w:wordWrap/>
        <w:overflowPunct/>
        <w:topLinePunct w:val="0"/>
        <w:autoSpaceDE/>
        <w:autoSpaceDN/>
        <w:bidi w:val="0"/>
        <w:adjustRightInd/>
        <w:snapToGrid w:val="0"/>
        <w:spacing w:line="520" w:lineRule="exact"/>
        <w:ind w:firstLine="360" w:firstLineChars="200"/>
        <w:textAlignment w:val="auto"/>
        <w:rPr>
          <w:rFonts w:hint="eastAsia" w:ascii="宋体" w:hAnsi="宋体" w:eastAsia="宋体" w:cs="宋体"/>
          <w:color w:val="000000"/>
          <w:sz w:val="18"/>
          <w:szCs w:val="18"/>
          <w:lang w:val="en-US" w:eastAsia="zh-CN"/>
        </w:rPr>
      </w:pPr>
      <w:r>
        <w:rPr>
          <w:rFonts w:hint="eastAsia" w:ascii="黑体" w:hAnsi="黑体" w:eastAsia="黑体" w:cs="黑体"/>
          <w:color w:val="000000"/>
          <w:sz w:val="18"/>
          <w:szCs w:val="18"/>
          <w:lang w:val="en-US" w:eastAsia="zh-CN"/>
        </w:rPr>
        <w:t>注：</w:t>
      </w:r>
      <w:r>
        <w:rPr>
          <w:rFonts w:hint="eastAsia" w:ascii="宋体" w:hAnsi="宋体" w:eastAsia="宋体" w:cs="宋体"/>
          <w:color w:val="000000"/>
          <w:sz w:val="18"/>
          <w:szCs w:val="18"/>
          <w:lang w:val="en-US" w:eastAsia="zh-CN"/>
        </w:rPr>
        <w:t>行政事业</w:t>
      </w:r>
      <w:r>
        <w:rPr>
          <w:rFonts w:hint="eastAsia" w:ascii="宋体" w:hAnsi="宋体" w:eastAsia="宋体" w:cs="宋体"/>
          <w:color w:val="auto"/>
          <w:sz w:val="18"/>
          <w:szCs w:val="18"/>
          <w:lang w:val="en-US" w:eastAsia="zh-CN"/>
        </w:rPr>
        <w:t>性</w:t>
      </w:r>
      <w:r>
        <w:rPr>
          <w:rFonts w:hint="eastAsia" w:ascii="宋体" w:hAnsi="宋体" w:eastAsia="宋体" w:cs="宋体"/>
          <w:color w:val="000000"/>
          <w:sz w:val="18"/>
          <w:szCs w:val="18"/>
          <w:lang w:val="en-US" w:eastAsia="zh-CN"/>
        </w:rPr>
        <w:t>国有资产包括使用财政资金形成的资产；接收调拨或者划转、置换形成的资产；接收捐赠并确认为国有的资产；其他国有资产。</w:t>
      </w:r>
    </w:p>
    <w:p w14:paraId="33136E7C">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[来源：</w:t>
      </w:r>
      <w:r>
        <w:rPr>
          <w:rFonts w:hint="eastAsia" w:ascii="宋体" w:hAnsi="宋体" w:eastAsia="宋体" w:cs="Times New Roman"/>
          <w:color w:val="000000"/>
          <w:sz w:val="21"/>
          <w:szCs w:val="21"/>
          <w:lang w:val="en-US" w:eastAsia="zh-CN"/>
        </w:rPr>
        <w:t>GB/T 41568</w:t>
      </w:r>
      <w:r>
        <w:rPr>
          <w:rFonts w:hint="eastAsia" w:ascii="宋体" w:hAnsi="宋体" w:cs="Times New Roman"/>
          <w:color w:val="000000"/>
          <w:sz w:val="21"/>
          <w:szCs w:val="21"/>
          <w:lang w:val="en-US" w:eastAsia="zh-CN"/>
        </w:rPr>
        <w:t>-2022，</w:t>
      </w:r>
      <w:r>
        <w:rPr>
          <w:rFonts w:hint="eastAsia" w:ascii="宋体" w:hAnsi="宋体" w:eastAsia="宋体" w:cs="Times New Roman"/>
          <w:color w:val="000000"/>
          <w:sz w:val="21"/>
          <w:szCs w:val="21"/>
          <w:lang w:val="en-US" w:eastAsia="zh-CN"/>
        </w:rPr>
        <w:t>5.1</w:t>
      </w:r>
      <w:r>
        <w:rPr>
          <w:rFonts w:hint="eastAsia" w:ascii="宋体" w:hAnsi="宋体" w:eastAsia="宋体" w:cs="宋体"/>
          <w:color w:val="000000"/>
          <w:sz w:val="21"/>
          <w:szCs w:val="21"/>
          <w:lang w:val="en-US" w:eastAsia="zh-CN"/>
        </w:rPr>
        <w:t>]</w:t>
      </w:r>
    </w:p>
    <w:p w14:paraId="31C32504">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000000"/>
          <w:sz w:val="21"/>
          <w:szCs w:val="21"/>
          <w:lang w:val="en-US" w:eastAsia="zh-CN"/>
        </w:rPr>
      </w:pPr>
      <w:r>
        <w:rPr>
          <w:rFonts w:hint="eastAsia" w:ascii="黑体" w:hAnsi="黑体" w:eastAsia="黑体" w:cs="黑体"/>
          <w:color w:val="000000"/>
          <w:sz w:val="21"/>
          <w:szCs w:val="21"/>
          <w:lang w:val="en-US" w:eastAsia="zh-CN"/>
        </w:rPr>
        <w:t>3.2</w:t>
      </w:r>
    </w:p>
    <w:p w14:paraId="1FDDB463">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黑体" w:hAnsi="黑体" w:eastAsia="黑体" w:cs="黑体"/>
          <w:color w:val="000000"/>
          <w:sz w:val="21"/>
          <w:szCs w:val="21"/>
          <w:lang w:val="en-US" w:eastAsia="zh-CN"/>
        </w:rPr>
      </w:pPr>
      <w:r>
        <w:rPr>
          <w:rFonts w:hint="eastAsia" w:ascii="黑体" w:hAnsi="黑体" w:eastAsia="黑体" w:cs="黑体"/>
          <w:color w:val="000000"/>
          <w:sz w:val="21"/>
          <w:szCs w:val="21"/>
          <w:lang w:val="en-US" w:eastAsia="zh-CN"/>
        </w:rPr>
        <w:t>资产处置 asset disposal</w:t>
      </w:r>
    </w:p>
    <w:p w14:paraId="3CFFD5FC">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根据工作需要，资产占用单位转移或核销资产产权的行为。</w:t>
      </w:r>
    </w:p>
    <w:p w14:paraId="5E3DDED5">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cs="黑体"/>
          <w:b w:val="0"/>
          <w:bCs w:val="0"/>
          <w:color w:val="000000"/>
          <w:kern w:val="2"/>
          <w:sz w:val="21"/>
          <w:szCs w:val="21"/>
          <w:lang w:val="en-US" w:eastAsia="zh-CN" w:bidi="ar-SA"/>
        </w:rPr>
      </w:pPr>
      <w:r>
        <w:rPr>
          <w:rFonts w:hint="eastAsia" w:ascii="黑体" w:hAnsi="黑体" w:eastAsia="黑体" w:cs="黑体"/>
          <w:b w:val="0"/>
          <w:bCs w:val="0"/>
          <w:color w:val="000000"/>
          <w:kern w:val="2"/>
          <w:sz w:val="21"/>
          <w:szCs w:val="21"/>
          <w:lang w:val="en-US" w:eastAsia="zh-CN" w:bidi="ar-SA"/>
        </w:rPr>
        <w:t>3.3</w:t>
      </w:r>
    </w:p>
    <w:p w14:paraId="562326ED">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黑体" w:hAnsi="黑体" w:eastAsia="黑体" w:cs="黑体"/>
          <w:color w:val="000000"/>
          <w:sz w:val="21"/>
          <w:szCs w:val="21"/>
          <w:lang w:val="en-US" w:eastAsia="zh-CN"/>
        </w:rPr>
      </w:pPr>
      <w:r>
        <w:rPr>
          <w:rFonts w:hint="eastAsia" w:ascii="黑体" w:hAnsi="黑体" w:eastAsia="黑体" w:cs="黑体"/>
          <w:color w:val="000000"/>
          <w:sz w:val="21"/>
          <w:szCs w:val="21"/>
          <w:lang w:val="en-US" w:eastAsia="zh-CN"/>
        </w:rPr>
        <w:t>资产主管部门 the department in charge of assets</w:t>
      </w:r>
    </w:p>
    <w:p w14:paraId="2B3BCA76">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本级财政部门或者机关事务管理部门，根据各地实际情况而定。</w:t>
      </w:r>
    </w:p>
    <w:p w14:paraId="56D30AB2">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b w:val="0"/>
          <w:bCs w:val="0"/>
          <w:color w:val="000000"/>
          <w:kern w:val="2"/>
          <w:sz w:val="21"/>
          <w:szCs w:val="21"/>
          <w:lang w:val="en-US" w:eastAsia="zh-CN" w:bidi="ar-SA"/>
        </w:rPr>
      </w:pPr>
      <w:r>
        <w:rPr>
          <w:rFonts w:hint="eastAsia" w:ascii="黑体" w:hAnsi="黑体" w:eastAsia="黑体" w:cs="黑体"/>
          <w:b w:val="0"/>
          <w:bCs w:val="0"/>
          <w:color w:val="000000"/>
          <w:kern w:val="2"/>
          <w:sz w:val="21"/>
          <w:szCs w:val="21"/>
          <w:lang w:val="en-US" w:eastAsia="zh-CN" w:bidi="ar-SA"/>
        </w:rPr>
        <w:t>3.4</w:t>
      </w:r>
    </w:p>
    <w:p w14:paraId="207556DC">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黑体" w:hAnsi="黑体" w:eastAsia="黑体" w:cs="黑体"/>
          <w:color w:val="000000"/>
          <w:sz w:val="21"/>
          <w:szCs w:val="21"/>
          <w:lang w:val="en-US" w:eastAsia="zh-CN"/>
        </w:rPr>
      </w:pPr>
      <w:r>
        <w:rPr>
          <w:rFonts w:hint="eastAsia" w:ascii="黑体" w:hAnsi="黑体" w:eastAsia="黑体" w:cs="黑体"/>
          <w:color w:val="000000"/>
          <w:sz w:val="21"/>
          <w:szCs w:val="21"/>
          <w:lang w:val="en-US" w:eastAsia="zh-CN"/>
        </w:rPr>
        <w:t>主管部门 competent department</w:t>
      </w:r>
    </w:p>
    <w:p w14:paraId="7B7B2147">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default" w:ascii="宋体" w:hAnsi="宋体" w:eastAsia="宋体" w:cs="宋体"/>
          <w:color w:val="FF0000"/>
          <w:sz w:val="21"/>
          <w:szCs w:val="21"/>
          <w:lang w:val="en-US" w:eastAsia="zh-CN"/>
        </w:rPr>
      </w:pPr>
      <w:r>
        <w:rPr>
          <w:rFonts w:hint="eastAsia" w:ascii="宋体" w:hAnsi="宋体" w:eastAsia="宋体" w:cs="宋体"/>
          <w:color w:val="auto"/>
          <w:sz w:val="21"/>
          <w:szCs w:val="21"/>
          <w:lang w:val="en-US" w:eastAsia="zh-CN"/>
        </w:rPr>
        <w:t>有所属单位的部门。</w:t>
      </w:r>
    </w:p>
    <w:p w14:paraId="3392B7DA">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auto"/>
          <w:sz w:val="21"/>
          <w:szCs w:val="21"/>
        </w:rPr>
      </w:pPr>
      <w:r>
        <w:rPr>
          <w:rFonts w:hint="eastAsia" w:ascii="黑体" w:hAnsi="黑体" w:eastAsia="黑体" w:cs="黑体"/>
          <w:color w:val="auto"/>
          <w:sz w:val="21"/>
          <w:szCs w:val="21"/>
        </w:rPr>
        <w:t>4  基本要求</w:t>
      </w:r>
    </w:p>
    <w:p w14:paraId="1527E9B0">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auto"/>
          <w:sz w:val="21"/>
          <w:szCs w:val="21"/>
        </w:rPr>
      </w:pPr>
      <w:r>
        <w:rPr>
          <w:rFonts w:hint="eastAsia" w:ascii="黑体" w:hAnsi="黑体" w:eastAsia="黑体" w:cs="黑体"/>
          <w:color w:val="auto"/>
          <w:sz w:val="21"/>
          <w:szCs w:val="21"/>
        </w:rPr>
        <w:t>4.1  管理原则</w:t>
      </w:r>
    </w:p>
    <w:p w14:paraId="072FE11F">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eastAsia="宋体" w:cs="宋体"/>
          <w:color w:val="auto"/>
          <w:sz w:val="21"/>
          <w:szCs w:val="21"/>
        </w:rPr>
      </w:pPr>
      <w:r>
        <w:rPr>
          <w:rFonts w:hint="eastAsia" w:ascii="黑体" w:hAnsi="黑体" w:eastAsia="黑体" w:cs="黑体"/>
          <w:color w:val="auto"/>
          <w:sz w:val="21"/>
          <w:szCs w:val="21"/>
        </w:rPr>
        <w:t>4.1.1</w:t>
      </w:r>
      <w:r>
        <w:rPr>
          <w:rFonts w:hint="eastAsia" w:ascii="宋体" w:hAnsi="宋体" w:eastAsia="宋体" w:cs="宋体"/>
          <w:color w:val="auto"/>
          <w:sz w:val="21"/>
          <w:szCs w:val="21"/>
        </w:rPr>
        <w:t xml:space="preserve"> 坚持科学规范、公开透明的原则，行政事业性国有资产处置（以下简称国有资产处置）应遵守国家法律、法规和规章，出售、置换、转让、专项资产拆除应委托具有相应资质的中介机构按有关规定开展审计或评估工作，并采取市场公开竞价方式或协议转让方式进行。</w:t>
      </w:r>
    </w:p>
    <w:p w14:paraId="2EC3DEB1">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eastAsia="宋体" w:cs="宋体"/>
          <w:color w:val="auto"/>
          <w:sz w:val="21"/>
          <w:szCs w:val="21"/>
        </w:rPr>
      </w:pPr>
      <w:r>
        <w:rPr>
          <w:rFonts w:hint="eastAsia" w:ascii="黑体" w:hAnsi="黑体" w:eastAsia="黑体" w:cs="黑体"/>
          <w:color w:val="auto"/>
          <w:sz w:val="21"/>
          <w:szCs w:val="21"/>
        </w:rPr>
        <w:t xml:space="preserve">4.1.2 </w:t>
      </w:r>
      <w:r>
        <w:rPr>
          <w:rFonts w:hint="eastAsia" w:ascii="宋体" w:hAnsi="宋体" w:eastAsia="宋体" w:cs="宋体"/>
          <w:color w:val="auto"/>
          <w:sz w:val="21"/>
          <w:szCs w:val="21"/>
        </w:rPr>
        <w:t xml:space="preserve"> 坚持与资产配置、使用相结合的原则，逐步建立资产整合和共享共用机制，鼓励闲置可利用资产</w:t>
      </w:r>
      <w:r>
        <w:rPr>
          <w:rFonts w:hint="eastAsia" w:ascii="宋体" w:hAnsi="宋体" w:eastAsia="宋体" w:cs="宋体"/>
          <w:color w:val="auto"/>
          <w:sz w:val="21"/>
          <w:szCs w:val="21"/>
          <w:lang w:val="en-US" w:eastAsia="zh-CN"/>
        </w:rPr>
        <w:t>纳入</w:t>
      </w:r>
      <w:r>
        <w:rPr>
          <w:rFonts w:hint="eastAsia" w:ascii="宋体" w:hAnsi="宋体" w:eastAsia="宋体" w:cs="宋体"/>
          <w:color w:val="auto"/>
          <w:sz w:val="21"/>
          <w:szCs w:val="21"/>
        </w:rPr>
        <w:t>本级公物仓，实现跨部门、跨区域、跨层级调剂，推动闲置资产循环共用。</w:t>
      </w:r>
    </w:p>
    <w:p w14:paraId="48126FF4">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eastAsia="宋体" w:cs="宋体"/>
          <w:color w:val="auto"/>
          <w:sz w:val="21"/>
          <w:szCs w:val="21"/>
        </w:rPr>
      </w:pPr>
      <w:r>
        <w:rPr>
          <w:rFonts w:hint="eastAsia" w:ascii="黑体" w:hAnsi="黑体" w:eastAsia="黑体" w:cs="黑体"/>
          <w:color w:val="auto"/>
          <w:sz w:val="21"/>
          <w:szCs w:val="21"/>
        </w:rPr>
        <w:t>4.1.3</w:t>
      </w:r>
      <w:r>
        <w:rPr>
          <w:rFonts w:hint="eastAsia" w:ascii="宋体" w:hAnsi="宋体" w:eastAsia="宋体" w:cs="宋体"/>
          <w:color w:val="auto"/>
          <w:sz w:val="21"/>
          <w:szCs w:val="21"/>
        </w:rPr>
        <w:t xml:space="preserve">  坚持产权清晰的原则，权属关系不明或者存在权属纠纷的资产，应待权属界定明确后予以处置。</w:t>
      </w:r>
    </w:p>
    <w:p w14:paraId="2451938D">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eastAsia="宋体" w:cs="宋体"/>
          <w:color w:val="auto"/>
          <w:sz w:val="21"/>
          <w:szCs w:val="21"/>
        </w:rPr>
      </w:pPr>
      <w:r>
        <w:rPr>
          <w:rFonts w:hint="eastAsia" w:ascii="黑体" w:hAnsi="黑体" w:eastAsia="黑体" w:cs="黑体"/>
          <w:color w:val="auto"/>
          <w:sz w:val="21"/>
          <w:szCs w:val="21"/>
        </w:rPr>
        <w:t xml:space="preserve">4.1.4 </w:t>
      </w:r>
      <w:r>
        <w:rPr>
          <w:rFonts w:hint="eastAsia" w:ascii="宋体" w:hAnsi="宋体" w:eastAsia="宋体" w:cs="宋体"/>
          <w:color w:val="auto"/>
          <w:sz w:val="21"/>
          <w:szCs w:val="21"/>
        </w:rPr>
        <w:t xml:space="preserve"> 坚持“账销案存”的处置原则，经批准的国有资产损失，在核销有关账目后，建立“账销案存”制度，继续落实追索责任。</w:t>
      </w:r>
    </w:p>
    <w:p w14:paraId="0A1B5FDB">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auto"/>
          <w:sz w:val="21"/>
          <w:szCs w:val="21"/>
        </w:rPr>
      </w:pPr>
      <w:r>
        <w:rPr>
          <w:rFonts w:hint="eastAsia" w:ascii="黑体" w:hAnsi="黑体" w:eastAsia="黑体" w:cs="黑体"/>
          <w:color w:val="auto"/>
          <w:sz w:val="21"/>
          <w:szCs w:val="21"/>
        </w:rPr>
        <w:t>4.2  分类处置要求</w:t>
      </w:r>
    </w:p>
    <w:p w14:paraId="24AA0259">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eastAsia="宋体" w:cs="宋体"/>
          <w:color w:val="auto"/>
          <w:sz w:val="21"/>
          <w:szCs w:val="21"/>
        </w:rPr>
      </w:pPr>
      <w:r>
        <w:rPr>
          <w:rFonts w:hint="eastAsia" w:ascii="黑体" w:hAnsi="黑体" w:eastAsia="黑体" w:cs="黑体"/>
          <w:color w:val="auto"/>
          <w:sz w:val="21"/>
          <w:szCs w:val="21"/>
        </w:rPr>
        <w:t>4.2.1</w:t>
      </w:r>
      <w:r>
        <w:rPr>
          <w:rFonts w:hint="eastAsia" w:ascii="宋体" w:hAnsi="宋体" w:eastAsia="宋体" w:cs="宋体"/>
          <w:color w:val="auto"/>
          <w:sz w:val="21"/>
          <w:szCs w:val="21"/>
        </w:rPr>
        <w:t xml:space="preserve">  报废资产，应当达到国家有关报废标准或者达到规定的使用年限。达到规定使用年限，符合继续使用条件的，不</w:t>
      </w:r>
      <w:r>
        <w:rPr>
          <w:rFonts w:hint="eastAsia" w:ascii="宋体" w:hAnsi="宋体" w:eastAsia="宋体" w:cs="宋体"/>
          <w:color w:val="auto"/>
          <w:sz w:val="21"/>
          <w:szCs w:val="21"/>
          <w:lang w:val="en-US" w:eastAsia="zh-CN"/>
        </w:rPr>
        <w:t>宜</w:t>
      </w:r>
      <w:r>
        <w:rPr>
          <w:rFonts w:hint="eastAsia" w:ascii="宋体" w:hAnsi="宋体" w:eastAsia="宋体" w:cs="宋体"/>
          <w:color w:val="auto"/>
          <w:sz w:val="21"/>
          <w:szCs w:val="21"/>
        </w:rPr>
        <w:t>报废；电子废弃物</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医疗设备、特种设备</w:t>
      </w:r>
      <w:r>
        <w:rPr>
          <w:rFonts w:hint="eastAsia" w:ascii="宋体" w:hAnsi="宋体" w:eastAsia="宋体" w:cs="宋体"/>
          <w:color w:val="auto"/>
          <w:sz w:val="21"/>
          <w:szCs w:val="21"/>
        </w:rPr>
        <w:t>等需要专业处置资质的，应建立统一回收，专业处置制度；涉及国家机密的计算机、移动存储介质、传真机和复印机等按国家有关保密规定进行处置。</w:t>
      </w:r>
    </w:p>
    <w:p w14:paraId="34A6D93B">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eastAsia="宋体" w:cs="宋体"/>
          <w:color w:val="auto"/>
          <w:sz w:val="21"/>
          <w:szCs w:val="21"/>
        </w:rPr>
      </w:pPr>
      <w:r>
        <w:rPr>
          <w:rFonts w:hint="eastAsia" w:ascii="黑体" w:hAnsi="黑体" w:eastAsia="黑体" w:cs="黑体"/>
          <w:color w:val="auto"/>
          <w:sz w:val="21"/>
          <w:szCs w:val="21"/>
        </w:rPr>
        <w:t xml:space="preserve">4.2.2 </w:t>
      </w:r>
      <w:r>
        <w:rPr>
          <w:rFonts w:hint="eastAsia" w:ascii="宋体" w:hAnsi="宋体" w:eastAsia="宋体" w:cs="宋体"/>
          <w:color w:val="auto"/>
          <w:sz w:val="21"/>
          <w:szCs w:val="21"/>
        </w:rPr>
        <w:t xml:space="preserve"> 被设置为担保物的国有资产处置，应当符合《中华人民共和国民法典》等法律的有关规定。</w:t>
      </w:r>
    </w:p>
    <w:p w14:paraId="08AAE1A4">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eastAsia="宋体" w:cs="宋体"/>
          <w:color w:val="auto"/>
          <w:sz w:val="21"/>
          <w:szCs w:val="21"/>
        </w:rPr>
      </w:pPr>
      <w:r>
        <w:rPr>
          <w:rFonts w:hint="eastAsia" w:ascii="黑体" w:hAnsi="黑体" w:eastAsia="黑体" w:cs="黑体"/>
          <w:color w:val="auto"/>
          <w:sz w:val="21"/>
          <w:szCs w:val="21"/>
        </w:rPr>
        <w:t xml:space="preserve">4.2.3 </w:t>
      </w:r>
      <w:r>
        <w:rPr>
          <w:rFonts w:hint="eastAsia" w:ascii="宋体" w:hAnsi="宋体" w:eastAsia="宋体" w:cs="宋体"/>
          <w:color w:val="auto"/>
          <w:sz w:val="21"/>
          <w:szCs w:val="21"/>
        </w:rPr>
        <w:t xml:space="preserve"> 不动产处置，应当优先考虑调剂使用，确实不能调剂使用的，由资产主管部门负责处置管理工作，使用单位不得自行处置；以调剂、置换、转让、出让、抵押、作价入股、拆迁占地等方式处置的，应当先报资产主管部门审批，采取国家允许的公开方式处置。</w:t>
      </w:r>
    </w:p>
    <w:p w14:paraId="2399DF92">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5  处置方式及范围</w:t>
      </w:r>
    </w:p>
    <w:p w14:paraId="29869B82">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5.1  处置方式</w:t>
      </w:r>
    </w:p>
    <w:p w14:paraId="2B918B65">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国有资产处置的主要方式包括调拨、捐赠、置换、出售（出让、转让）、报废、报损、货币性资产损失核销及法律、行政法规规定的其他资产处置等方式。</w:t>
      </w:r>
    </w:p>
    <w:p w14:paraId="016C51DD">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5.</w:t>
      </w:r>
      <w:r>
        <w:rPr>
          <w:rFonts w:hint="eastAsia" w:ascii="黑体" w:hAnsi="黑体" w:eastAsia="黑体" w:cs="黑体"/>
          <w:color w:val="000000"/>
          <w:sz w:val="21"/>
          <w:szCs w:val="21"/>
          <w:lang w:val="en-US" w:eastAsia="zh-CN"/>
        </w:rPr>
        <w:t>2</w:t>
      </w:r>
      <w:r>
        <w:rPr>
          <w:rFonts w:hint="eastAsia" w:ascii="黑体" w:hAnsi="黑体" w:eastAsia="黑体" w:cs="黑体"/>
          <w:color w:val="000000"/>
          <w:sz w:val="21"/>
          <w:szCs w:val="21"/>
        </w:rPr>
        <w:t xml:space="preserve">  处置范围</w:t>
      </w:r>
    </w:p>
    <w:p w14:paraId="587E1697">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国有资产处置范围</w:t>
      </w:r>
      <w:r>
        <w:rPr>
          <w:rFonts w:hint="eastAsia" w:ascii="宋体" w:hAnsi="宋体" w:eastAsia="宋体" w:cs="宋体"/>
          <w:color w:val="000000"/>
          <w:sz w:val="21"/>
          <w:szCs w:val="21"/>
          <w:lang w:eastAsia="zh-CN"/>
        </w:rPr>
        <w:t>应包括但不限于以下内容：</w:t>
      </w:r>
    </w:p>
    <w:p w14:paraId="4FDE7EE7">
      <w:pPr>
        <w:keepNext w:val="0"/>
        <w:keepLines w:val="0"/>
        <w:pageBreakBefore w:val="0"/>
        <w:widowControl w:val="0"/>
        <w:numPr>
          <w:ilvl w:val="0"/>
          <w:numId w:val="17"/>
        </w:numPr>
        <w:kinsoku/>
        <w:wordWrap/>
        <w:overflowPunct/>
        <w:topLinePunct w:val="0"/>
        <w:autoSpaceDE/>
        <w:autoSpaceDN/>
        <w:bidi w:val="0"/>
        <w:adjustRightInd/>
        <w:snapToGrid w:val="0"/>
        <w:spacing w:line="520" w:lineRule="exact"/>
        <w:ind w:firstLine="420" w:firstLineChars="200"/>
        <w:textAlignment w:val="auto"/>
        <w:rPr>
          <w:rFonts w:hint="eastAsia"/>
          <w:color w:val="000000"/>
          <w:sz w:val="21"/>
          <w:szCs w:val="21"/>
        </w:rPr>
      </w:pP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闲置、低效利用</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罚没</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超标准配置</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已</w:t>
      </w:r>
      <w:r>
        <w:rPr>
          <w:rFonts w:hint="eastAsia" w:ascii="宋体" w:hAnsi="宋体" w:eastAsia="宋体" w:cs="宋体"/>
          <w:color w:val="000000"/>
          <w:sz w:val="21"/>
          <w:szCs w:val="21"/>
          <w:lang w:eastAsia="zh-CN"/>
        </w:rPr>
        <w:t>超过</w:t>
      </w:r>
      <w:r>
        <w:rPr>
          <w:rFonts w:hint="eastAsia" w:ascii="宋体" w:hAnsi="宋体" w:eastAsia="宋体" w:cs="宋体"/>
          <w:color w:val="000000"/>
          <w:sz w:val="21"/>
          <w:szCs w:val="21"/>
        </w:rPr>
        <w:t>使用年限且无法满足现有工作需要的资产；</w:t>
      </w:r>
    </w:p>
    <w:p w14:paraId="55861EBC">
      <w:pPr>
        <w:keepNext w:val="0"/>
        <w:keepLines w:val="0"/>
        <w:pageBreakBefore w:val="0"/>
        <w:widowControl w:val="0"/>
        <w:numPr>
          <w:ilvl w:val="0"/>
          <w:numId w:val="17"/>
        </w:numPr>
        <w:kinsoku/>
        <w:wordWrap/>
        <w:overflowPunct/>
        <w:topLinePunct w:val="0"/>
        <w:autoSpaceDE/>
        <w:autoSpaceDN/>
        <w:bidi w:val="0"/>
        <w:adjustRightInd/>
        <w:snapToGrid w:val="0"/>
        <w:spacing w:line="520" w:lineRule="exact"/>
        <w:ind w:left="0" w:leftChars="0" w:firstLine="420" w:firstLineChars="200"/>
        <w:textAlignment w:val="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因技术原因</w:t>
      </w:r>
      <w:r>
        <w:rPr>
          <w:rFonts w:hint="eastAsia" w:ascii="宋体" w:hAnsi="宋体" w:eastAsia="宋体" w:cs="宋体"/>
          <w:color w:val="000000"/>
          <w:sz w:val="21"/>
          <w:szCs w:val="21"/>
          <w:lang w:eastAsia="zh-CN"/>
        </w:rPr>
        <w:t>确需淘汰或者无法维修、无维修价值的</w:t>
      </w:r>
      <w:r>
        <w:rPr>
          <w:rFonts w:hint="eastAsia" w:ascii="宋体" w:hAnsi="宋体" w:eastAsia="宋体" w:cs="宋体"/>
          <w:color w:val="000000"/>
          <w:sz w:val="21"/>
          <w:szCs w:val="21"/>
        </w:rPr>
        <w:t>资产；</w:t>
      </w:r>
    </w:p>
    <w:p w14:paraId="22C70EEA">
      <w:pPr>
        <w:keepNext w:val="0"/>
        <w:keepLines w:val="0"/>
        <w:pageBreakBefore w:val="0"/>
        <w:widowControl w:val="0"/>
        <w:numPr>
          <w:ilvl w:val="0"/>
          <w:numId w:val="17"/>
        </w:numPr>
        <w:kinsoku/>
        <w:wordWrap/>
        <w:overflowPunct/>
        <w:topLinePunct w:val="0"/>
        <w:autoSpaceDE/>
        <w:autoSpaceDN/>
        <w:bidi w:val="0"/>
        <w:adjustRightInd/>
        <w:snapToGrid w:val="0"/>
        <w:spacing w:line="520" w:lineRule="exact"/>
        <w:ind w:left="0" w:leftChars="0" w:firstLine="420" w:firstLineChars="200"/>
        <w:textAlignment w:val="auto"/>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因单位分立、合并、改制、撤销、隶属关系改变或者部分职能、业务调整以及其他导致资产发生产权变动</w:t>
      </w:r>
      <w:r>
        <w:rPr>
          <w:rFonts w:hint="eastAsia" w:ascii="宋体" w:hAnsi="宋体" w:eastAsia="宋体" w:cs="宋体"/>
          <w:color w:val="000000"/>
          <w:sz w:val="21"/>
          <w:szCs w:val="21"/>
          <w:lang w:eastAsia="zh-CN"/>
        </w:rPr>
        <w:t>的</w:t>
      </w:r>
      <w:r>
        <w:rPr>
          <w:rFonts w:hint="eastAsia" w:ascii="宋体" w:hAnsi="宋体" w:eastAsia="宋体" w:cs="宋体"/>
          <w:color w:val="000000"/>
          <w:sz w:val="21"/>
          <w:szCs w:val="21"/>
        </w:rPr>
        <w:t>资产</w:t>
      </w:r>
      <w:r>
        <w:rPr>
          <w:rFonts w:hint="eastAsia" w:ascii="宋体" w:hAnsi="宋体" w:cs="宋体"/>
          <w:color w:val="000000"/>
          <w:sz w:val="21"/>
          <w:szCs w:val="21"/>
          <w:lang w:eastAsia="zh-CN"/>
        </w:rPr>
        <w:t>；</w:t>
      </w:r>
    </w:p>
    <w:p w14:paraId="605E2EB9">
      <w:pPr>
        <w:keepNext w:val="0"/>
        <w:keepLines w:val="0"/>
        <w:pageBreakBefore w:val="0"/>
        <w:widowControl w:val="0"/>
        <w:numPr>
          <w:ilvl w:val="0"/>
          <w:numId w:val="17"/>
        </w:numPr>
        <w:kinsoku/>
        <w:wordWrap/>
        <w:overflowPunct/>
        <w:topLinePunct w:val="0"/>
        <w:autoSpaceDE/>
        <w:autoSpaceDN/>
        <w:bidi w:val="0"/>
        <w:adjustRightInd/>
        <w:snapToGrid w:val="0"/>
        <w:spacing w:line="520" w:lineRule="exact"/>
        <w:ind w:left="0" w:leftChars="0" w:firstLine="420" w:firstLineChars="200"/>
        <w:textAlignment w:val="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盘亏、</w:t>
      </w:r>
      <w:r>
        <w:rPr>
          <w:rFonts w:hint="eastAsia" w:ascii="宋体" w:hAnsi="宋体" w:eastAsia="宋体" w:cs="宋体"/>
          <w:color w:val="000000"/>
          <w:sz w:val="21"/>
          <w:szCs w:val="21"/>
          <w:lang w:eastAsia="zh-CN"/>
        </w:rPr>
        <w:t>坏账</w:t>
      </w:r>
      <w:r>
        <w:rPr>
          <w:rFonts w:hint="eastAsia" w:ascii="宋体" w:hAnsi="宋体" w:eastAsia="宋体" w:cs="宋体"/>
          <w:color w:val="000000"/>
          <w:sz w:val="21"/>
          <w:szCs w:val="21"/>
        </w:rPr>
        <w:t>及</w:t>
      </w:r>
      <w:r>
        <w:rPr>
          <w:rFonts w:hint="eastAsia" w:ascii="宋体" w:hAnsi="宋体" w:eastAsia="宋体" w:cs="宋体"/>
          <w:color w:val="000000"/>
          <w:sz w:val="21"/>
          <w:szCs w:val="21"/>
          <w:lang w:eastAsia="zh-CN"/>
        </w:rPr>
        <w:t>非正常</w:t>
      </w:r>
      <w:r>
        <w:rPr>
          <w:rFonts w:hint="eastAsia" w:ascii="宋体" w:hAnsi="宋体" w:eastAsia="宋体" w:cs="宋体"/>
          <w:color w:val="000000"/>
          <w:sz w:val="21"/>
          <w:szCs w:val="21"/>
        </w:rPr>
        <w:t>损失的资产</w:t>
      </w:r>
      <w:r>
        <w:rPr>
          <w:rFonts w:hint="eastAsia" w:ascii="宋体" w:hAnsi="宋体" w:eastAsia="宋体" w:cs="宋体"/>
          <w:color w:val="000000"/>
          <w:sz w:val="21"/>
          <w:szCs w:val="21"/>
          <w:lang w:eastAsia="zh-CN"/>
        </w:rPr>
        <w:t>，因自然灾害等不可抗力造成损毁、灭失的资产</w:t>
      </w:r>
      <w:r>
        <w:rPr>
          <w:rFonts w:hint="eastAsia" w:ascii="宋体" w:hAnsi="宋体" w:cs="宋体"/>
          <w:color w:val="000000"/>
          <w:sz w:val="21"/>
          <w:szCs w:val="21"/>
          <w:lang w:eastAsia="zh-CN"/>
        </w:rPr>
        <w:t>；</w:t>
      </w:r>
    </w:p>
    <w:p w14:paraId="6944E900">
      <w:pPr>
        <w:keepNext w:val="0"/>
        <w:keepLines w:val="0"/>
        <w:pageBreakBefore w:val="0"/>
        <w:widowControl w:val="0"/>
        <w:numPr>
          <w:ilvl w:val="0"/>
          <w:numId w:val="17"/>
        </w:numPr>
        <w:kinsoku/>
        <w:wordWrap/>
        <w:overflowPunct/>
        <w:topLinePunct w:val="0"/>
        <w:autoSpaceDE/>
        <w:autoSpaceDN/>
        <w:bidi w:val="0"/>
        <w:adjustRightInd/>
        <w:snapToGrid w:val="0"/>
        <w:spacing w:line="520" w:lineRule="exact"/>
        <w:ind w:left="0" w:leftChars="0" w:firstLine="420" w:firstLineChars="200"/>
        <w:textAlignment w:val="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依照国家和政府有关规定需要进行资产处置的其他情形。</w:t>
      </w:r>
    </w:p>
    <w:p w14:paraId="74A3BD81">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auto"/>
          <w:sz w:val="21"/>
          <w:szCs w:val="21"/>
        </w:rPr>
      </w:pPr>
      <w:r>
        <w:rPr>
          <w:rFonts w:hint="eastAsia" w:ascii="黑体" w:hAnsi="黑体" w:eastAsia="黑体" w:cs="黑体"/>
          <w:color w:val="auto"/>
          <w:sz w:val="21"/>
          <w:szCs w:val="21"/>
        </w:rPr>
        <w:t>6  审批权限</w:t>
      </w:r>
    </w:p>
    <w:p w14:paraId="4CA70EFE">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default" w:ascii="黑体" w:hAnsi="黑体" w:eastAsia="黑体" w:cs="黑体"/>
          <w:color w:val="auto"/>
          <w:sz w:val="21"/>
          <w:szCs w:val="21"/>
          <w:lang w:val="en-US"/>
        </w:rPr>
      </w:pPr>
      <w:r>
        <w:rPr>
          <w:rFonts w:hint="eastAsia" w:ascii="黑体" w:hAnsi="黑体" w:eastAsia="黑体" w:cs="黑体"/>
          <w:color w:val="auto"/>
          <w:sz w:val="21"/>
          <w:szCs w:val="21"/>
        </w:rPr>
        <w:t>6.</w:t>
      </w:r>
      <w:r>
        <w:rPr>
          <w:rFonts w:hint="eastAsia" w:ascii="黑体" w:hAnsi="黑体" w:eastAsia="黑体" w:cs="黑体"/>
          <w:color w:val="auto"/>
          <w:sz w:val="21"/>
          <w:szCs w:val="21"/>
          <w:lang w:val="en-US" w:eastAsia="zh-CN"/>
        </w:rPr>
        <w:t>1  分级审批</w:t>
      </w:r>
    </w:p>
    <w:p w14:paraId="729B55CB">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各地根据实际情况明确单位、主管部门、资产主管部门的审批权限。办公用房、公务用车等专项资产的处置按照相关管理办法执行。</w:t>
      </w:r>
    </w:p>
    <w:p w14:paraId="1C05A3EF">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auto"/>
          <w:sz w:val="21"/>
          <w:szCs w:val="21"/>
        </w:rPr>
      </w:pPr>
      <w:r>
        <w:rPr>
          <w:rFonts w:hint="eastAsia" w:ascii="黑体" w:hAnsi="黑体" w:eastAsia="黑体" w:cs="黑体"/>
          <w:color w:val="auto"/>
          <w:sz w:val="21"/>
          <w:szCs w:val="21"/>
        </w:rPr>
        <w:t>6.</w:t>
      </w:r>
      <w:r>
        <w:rPr>
          <w:rFonts w:hint="eastAsia" w:ascii="黑体" w:hAnsi="黑体" w:eastAsia="黑体" w:cs="黑体"/>
          <w:color w:val="auto"/>
          <w:sz w:val="21"/>
          <w:szCs w:val="21"/>
          <w:lang w:val="en-US" w:eastAsia="zh-CN"/>
        </w:rPr>
        <w:t xml:space="preserve">2  </w:t>
      </w:r>
      <w:r>
        <w:rPr>
          <w:rFonts w:hint="eastAsia" w:ascii="黑体" w:hAnsi="黑体" w:eastAsia="黑体" w:cs="黑体"/>
          <w:color w:val="auto"/>
          <w:sz w:val="21"/>
          <w:szCs w:val="21"/>
          <w:lang w:eastAsia="zh-CN"/>
        </w:rPr>
        <w:t>单位</w:t>
      </w:r>
      <w:r>
        <w:rPr>
          <w:rFonts w:hint="eastAsia" w:ascii="黑体" w:hAnsi="黑体" w:eastAsia="黑体" w:cs="黑体"/>
          <w:color w:val="auto"/>
          <w:sz w:val="21"/>
          <w:szCs w:val="21"/>
        </w:rPr>
        <w:t>权限</w:t>
      </w:r>
    </w:p>
    <w:p w14:paraId="6C7C8FF2">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default" w:ascii="黑体" w:hAnsi="黑体" w:eastAsia="黑体" w:cs="黑体"/>
          <w:color w:val="auto"/>
          <w:sz w:val="21"/>
          <w:szCs w:val="21"/>
          <w:lang w:val="en-US" w:eastAsia="zh-CN"/>
        </w:rPr>
      </w:pPr>
      <w:r>
        <w:rPr>
          <w:rFonts w:hint="eastAsia" w:ascii="宋体" w:hAnsi="宋体" w:eastAsia="宋体" w:cs="宋体"/>
          <w:color w:val="auto"/>
          <w:sz w:val="21"/>
          <w:szCs w:val="21"/>
        </w:rPr>
        <w:t>账面价值（原值）</w:t>
      </w:r>
      <w:r>
        <w:rPr>
          <w:rFonts w:hint="eastAsia" w:ascii="宋体" w:hAnsi="宋体" w:eastAsia="宋体" w:cs="宋体"/>
          <w:color w:val="auto"/>
          <w:sz w:val="21"/>
          <w:szCs w:val="21"/>
          <w:lang w:val="en-US" w:eastAsia="zh-CN"/>
        </w:rPr>
        <w:t>在</w:t>
      </w:r>
      <w:r>
        <w:rPr>
          <w:rFonts w:hint="eastAsia" w:ascii="宋体" w:hAnsi="宋体" w:eastAsia="宋体" w:cs="宋体"/>
          <w:color w:val="auto"/>
          <w:sz w:val="21"/>
          <w:szCs w:val="21"/>
          <w:lang w:eastAsia="zh-CN"/>
        </w:rPr>
        <w:t>一</w:t>
      </w:r>
      <w:r>
        <w:rPr>
          <w:rFonts w:hint="eastAsia" w:ascii="宋体" w:hAnsi="宋体" w:eastAsia="宋体" w:cs="宋体"/>
          <w:color w:val="auto"/>
          <w:sz w:val="21"/>
          <w:szCs w:val="21"/>
          <w:lang w:val="en-US" w:eastAsia="zh-CN"/>
        </w:rPr>
        <w:t>定</w:t>
      </w:r>
      <w:r>
        <w:rPr>
          <w:rFonts w:hint="eastAsia" w:ascii="宋体" w:hAnsi="宋体" w:eastAsia="宋体" w:cs="宋体"/>
          <w:color w:val="auto"/>
          <w:sz w:val="21"/>
          <w:szCs w:val="21"/>
          <w:lang w:eastAsia="zh-CN"/>
        </w:rPr>
        <w:t>金额</w:t>
      </w:r>
      <w:r>
        <w:rPr>
          <w:rFonts w:hint="eastAsia" w:ascii="宋体" w:hAnsi="宋体" w:eastAsia="宋体" w:cs="宋体"/>
          <w:color w:val="auto"/>
          <w:sz w:val="21"/>
          <w:szCs w:val="21"/>
          <w:lang w:val="en-US" w:eastAsia="zh-CN"/>
        </w:rPr>
        <w:t>以下</w:t>
      </w:r>
      <w:r>
        <w:rPr>
          <w:rFonts w:hint="eastAsia" w:ascii="宋体" w:hAnsi="宋体" w:eastAsia="宋体" w:cs="宋体"/>
          <w:color w:val="auto"/>
          <w:sz w:val="21"/>
          <w:szCs w:val="21"/>
        </w:rPr>
        <w:t>的国有资产处置，由单位</w:t>
      </w:r>
      <w:r>
        <w:rPr>
          <w:rFonts w:hint="eastAsia" w:ascii="宋体" w:hAnsi="宋体" w:eastAsia="宋体" w:cs="宋体"/>
          <w:color w:val="auto"/>
          <w:sz w:val="21"/>
          <w:szCs w:val="21"/>
          <w:lang w:val="en-US" w:eastAsia="zh-CN"/>
        </w:rPr>
        <w:t>审批</w:t>
      </w:r>
      <w:r>
        <w:rPr>
          <w:rFonts w:hint="eastAsia" w:ascii="宋体" w:hAnsi="宋体" w:eastAsia="宋体" w:cs="宋体"/>
          <w:color w:val="auto"/>
          <w:sz w:val="21"/>
          <w:szCs w:val="21"/>
          <w:lang w:eastAsia="zh-CN"/>
        </w:rPr>
        <w:t>。</w:t>
      </w:r>
    </w:p>
    <w:p w14:paraId="621B6B4C">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auto"/>
          <w:sz w:val="21"/>
          <w:szCs w:val="21"/>
        </w:rPr>
      </w:pPr>
      <w:r>
        <w:rPr>
          <w:rFonts w:hint="eastAsia" w:ascii="黑体" w:hAnsi="黑体" w:eastAsia="黑体" w:cs="黑体"/>
          <w:color w:val="auto"/>
          <w:sz w:val="21"/>
          <w:szCs w:val="21"/>
        </w:rPr>
        <w:t>6.</w:t>
      </w:r>
      <w:r>
        <w:rPr>
          <w:rFonts w:hint="eastAsia" w:ascii="黑体" w:hAnsi="黑体" w:eastAsia="黑体" w:cs="黑体"/>
          <w:color w:val="auto"/>
          <w:sz w:val="21"/>
          <w:szCs w:val="21"/>
          <w:lang w:val="en-US" w:eastAsia="zh-CN"/>
        </w:rPr>
        <w:t xml:space="preserve">3  </w:t>
      </w:r>
      <w:r>
        <w:rPr>
          <w:rFonts w:hint="eastAsia" w:ascii="黑体" w:hAnsi="黑体" w:eastAsia="黑体" w:cs="黑体"/>
          <w:color w:val="auto"/>
          <w:sz w:val="21"/>
          <w:szCs w:val="21"/>
        </w:rPr>
        <w:t>主管部门审批权限</w:t>
      </w:r>
    </w:p>
    <w:p w14:paraId="1AB83D60">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账面价值（原值）</w:t>
      </w:r>
      <w:r>
        <w:rPr>
          <w:rFonts w:hint="eastAsia" w:ascii="宋体" w:hAnsi="宋体" w:eastAsia="宋体" w:cs="宋体"/>
          <w:color w:val="auto"/>
          <w:sz w:val="21"/>
          <w:szCs w:val="21"/>
          <w:lang w:val="en-US" w:eastAsia="zh-CN"/>
        </w:rPr>
        <w:t>在</w:t>
      </w:r>
      <w:r>
        <w:rPr>
          <w:rFonts w:hint="eastAsia" w:ascii="宋体" w:hAnsi="宋体" w:eastAsia="宋体" w:cs="宋体"/>
          <w:color w:val="auto"/>
          <w:sz w:val="21"/>
          <w:szCs w:val="21"/>
          <w:lang w:eastAsia="zh-CN"/>
        </w:rPr>
        <w:t>一</w:t>
      </w:r>
      <w:r>
        <w:rPr>
          <w:rFonts w:hint="eastAsia" w:ascii="宋体" w:hAnsi="宋体" w:eastAsia="宋体" w:cs="宋体"/>
          <w:color w:val="auto"/>
          <w:sz w:val="21"/>
          <w:szCs w:val="21"/>
          <w:lang w:val="en-US" w:eastAsia="zh-CN"/>
        </w:rPr>
        <w:t>定</w:t>
      </w:r>
      <w:r>
        <w:rPr>
          <w:rFonts w:hint="eastAsia" w:ascii="宋体" w:hAnsi="宋体" w:eastAsia="宋体" w:cs="宋体"/>
          <w:color w:val="auto"/>
          <w:sz w:val="21"/>
          <w:szCs w:val="21"/>
          <w:lang w:eastAsia="zh-CN"/>
        </w:rPr>
        <w:t>金额</w:t>
      </w:r>
      <w:r>
        <w:rPr>
          <w:rFonts w:hint="eastAsia" w:ascii="宋体" w:hAnsi="宋体" w:eastAsia="宋体" w:cs="宋体"/>
          <w:color w:val="auto"/>
          <w:sz w:val="21"/>
          <w:szCs w:val="21"/>
          <w:lang w:val="en-US" w:eastAsia="zh-CN"/>
        </w:rPr>
        <w:t>范围内</w:t>
      </w:r>
      <w:r>
        <w:rPr>
          <w:rFonts w:hint="eastAsia" w:ascii="宋体" w:hAnsi="宋体" w:eastAsia="宋体" w:cs="宋体"/>
          <w:color w:val="auto"/>
          <w:sz w:val="21"/>
          <w:szCs w:val="21"/>
        </w:rPr>
        <w:t>的国有资产处置，由主管部门审批</w:t>
      </w:r>
      <w:r>
        <w:rPr>
          <w:rFonts w:hint="eastAsia" w:ascii="宋体" w:hAnsi="宋体" w:eastAsia="宋体" w:cs="宋体"/>
          <w:color w:val="auto"/>
          <w:sz w:val="21"/>
          <w:szCs w:val="21"/>
          <w:lang w:eastAsia="zh-CN"/>
        </w:rPr>
        <w:t>。</w:t>
      </w:r>
    </w:p>
    <w:p w14:paraId="167AFFEE">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auto"/>
          <w:sz w:val="21"/>
          <w:szCs w:val="21"/>
        </w:rPr>
      </w:pPr>
      <w:r>
        <w:rPr>
          <w:rFonts w:hint="eastAsia" w:ascii="黑体" w:hAnsi="黑体" w:eastAsia="黑体" w:cs="黑体"/>
          <w:color w:val="auto"/>
          <w:sz w:val="21"/>
          <w:szCs w:val="21"/>
        </w:rPr>
        <w:t>6.</w:t>
      </w:r>
      <w:r>
        <w:rPr>
          <w:rFonts w:hint="eastAsia" w:ascii="黑体" w:hAnsi="黑体" w:eastAsia="黑体" w:cs="黑体"/>
          <w:color w:val="auto"/>
          <w:sz w:val="21"/>
          <w:szCs w:val="21"/>
          <w:lang w:val="en-US" w:eastAsia="zh-CN"/>
        </w:rPr>
        <w:t xml:space="preserve">4  </w:t>
      </w:r>
      <w:r>
        <w:rPr>
          <w:rFonts w:hint="eastAsia" w:ascii="黑体" w:hAnsi="黑体" w:eastAsia="黑体" w:cs="黑体"/>
          <w:color w:val="auto"/>
          <w:sz w:val="21"/>
          <w:szCs w:val="21"/>
        </w:rPr>
        <w:t>资产主管部门审批权限</w:t>
      </w:r>
    </w:p>
    <w:p w14:paraId="54B2A384">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资产主管部门的审批权限应包括但不限于以下内容：</w:t>
      </w:r>
    </w:p>
    <w:p w14:paraId="37F58FA0">
      <w:pPr>
        <w:keepNext w:val="0"/>
        <w:keepLines w:val="0"/>
        <w:pageBreakBefore w:val="0"/>
        <w:widowControl w:val="0"/>
        <w:numPr>
          <w:ilvl w:val="0"/>
          <w:numId w:val="18"/>
        </w:numPr>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账面价值（原值）</w:t>
      </w:r>
      <w:r>
        <w:rPr>
          <w:rFonts w:hint="eastAsia" w:ascii="宋体" w:hAnsi="宋体" w:eastAsia="宋体" w:cs="宋体"/>
          <w:color w:val="auto"/>
          <w:sz w:val="21"/>
          <w:szCs w:val="21"/>
          <w:lang w:val="en-US" w:eastAsia="zh-CN"/>
        </w:rPr>
        <w:t>在一定</w:t>
      </w:r>
      <w:r>
        <w:rPr>
          <w:rFonts w:hint="eastAsia" w:ascii="宋体" w:hAnsi="宋体" w:eastAsia="宋体" w:cs="宋体"/>
          <w:color w:val="auto"/>
          <w:sz w:val="21"/>
          <w:szCs w:val="21"/>
          <w:lang w:eastAsia="zh-CN"/>
        </w:rPr>
        <w:t>金额</w:t>
      </w:r>
      <w:r>
        <w:rPr>
          <w:rFonts w:hint="eastAsia" w:ascii="宋体" w:hAnsi="宋体" w:eastAsia="宋体" w:cs="宋体"/>
          <w:color w:val="auto"/>
          <w:sz w:val="21"/>
          <w:szCs w:val="21"/>
          <w:lang w:val="en-US" w:eastAsia="zh-CN"/>
        </w:rPr>
        <w:t>以上</w:t>
      </w:r>
      <w:r>
        <w:rPr>
          <w:rFonts w:hint="eastAsia" w:ascii="宋体" w:hAnsi="宋体" w:eastAsia="宋体" w:cs="宋体"/>
          <w:color w:val="auto"/>
          <w:sz w:val="21"/>
          <w:szCs w:val="21"/>
        </w:rPr>
        <w:t>的资产处置；</w:t>
      </w:r>
    </w:p>
    <w:p w14:paraId="4F8FEB50">
      <w:pPr>
        <w:keepNext w:val="0"/>
        <w:keepLines w:val="0"/>
        <w:pageBreakBefore w:val="0"/>
        <w:widowControl w:val="0"/>
        <w:numPr>
          <w:ilvl w:val="0"/>
          <w:numId w:val="18"/>
        </w:numPr>
        <w:kinsoku/>
        <w:wordWrap/>
        <w:overflowPunct/>
        <w:topLinePunct w:val="0"/>
        <w:autoSpaceDE/>
        <w:autoSpaceDN/>
        <w:bidi w:val="0"/>
        <w:adjustRightInd/>
        <w:snapToGrid w:val="0"/>
        <w:spacing w:line="520" w:lineRule="exact"/>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经批准组建的临时机构、召开重大会议、举办大型活动等临时购置的资产处置</w:t>
      </w:r>
      <w:r>
        <w:rPr>
          <w:rFonts w:hint="eastAsia" w:ascii="宋体" w:hAnsi="宋体" w:eastAsia="宋体" w:cs="宋体"/>
          <w:color w:val="auto"/>
          <w:sz w:val="21"/>
          <w:szCs w:val="21"/>
          <w:lang w:eastAsia="zh-CN"/>
        </w:rPr>
        <w:t>；</w:t>
      </w:r>
    </w:p>
    <w:p w14:paraId="422570ED">
      <w:pPr>
        <w:keepNext w:val="0"/>
        <w:keepLines w:val="0"/>
        <w:pageBreakBefore w:val="0"/>
        <w:widowControl w:val="0"/>
        <w:numPr>
          <w:ilvl w:val="0"/>
          <w:numId w:val="18"/>
        </w:numPr>
        <w:kinsoku/>
        <w:wordWrap/>
        <w:overflowPunct/>
        <w:topLinePunct w:val="0"/>
        <w:autoSpaceDE/>
        <w:autoSpaceDN/>
        <w:bidi w:val="0"/>
        <w:adjustRightInd/>
        <w:snapToGrid w:val="0"/>
        <w:spacing w:line="520" w:lineRule="exact"/>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单位分立、撤销、合并、改制、隶属关系改变及跨部门、跨政府级次的资产处置</w:t>
      </w:r>
      <w:r>
        <w:rPr>
          <w:rFonts w:hint="eastAsia" w:ascii="宋体" w:hAnsi="宋体" w:eastAsia="宋体" w:cs="宋体"/>
          <w:color w:val="auto"/>
          <w:sz w:val="21"/>
          <w:szCs w:val="21"/>
          <w:lang w:eastAsia="zh-CN"/>
        </w:rPr>
        <w:t>；</w:t>
      </w:r>
    </w:p>
    <w:p w14:paraId="6FB9BCC9">
      <w:pPr>
        <w:keepNext w:val="0"/>
        <w:keepLines w:val="0"/>
        <w:pageBreakBefore w:val="0"/>
        <w:widowControl w:val="0"/>
        <w:numPr>
          <w:ilvl w:val="0"/>
          <w:numId w:val="18"/>
        </w:numPr>
        <w:kinsoku/>
        <w:wordWrap/>
        <w:overflowPunct/>
        <w:topLinePunct w:val="0"/>
        <w:autoSpaceDE/>
        <w:autoSpaceDN/>
        <w:bidi w:val="0"/>
        <w:adjustRightInd/>
        <w:snapToGrid w:val="0"/>
        <w:spacing w:line="520" w:lineRule="exact"/>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其他需由资产主管部门审批的资产处置事项。</w:t>
      </w:r>
    </w:p>
    <w:p w14:paraId="78156BC9">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b w:val="0"/>
          <w:bCs w:val="0"/>
          <w:color w:val="auto"/>
          <w:sz w:val="21"/>
          <w:szCs w:val="21"/>
          <w:lang w:eastAsia="zh-CN"/>
        </w:rPr>
      </w:pPr>
      <w:r>
        <w:rPr>
          <w:rFonts w:hint="eastAsia" w:ascii="黑体" w:hAnsi="黑体" w:eastAsia="黑体" w:cs="黑体"/>
          <w:b w:val="0"/>
          <w:bCs w:val="0"/>
          <w:color w:val="auto"/>
          <w:sz w:val="21"/>
          <w:szCs w:val="21"/>
        </w:rPr>
        <w:t>7  处置程序</w:t>
      </w:r>
      <w:r>
        <w:rPr>
          <w:rFonts w:hint="eastAsia" w:ascii="黑体" w:hAnsi="黑体" w:eastAsia="黑体" w:cs="黑体"/>
          <w:b w:val="0"/>
          <w:bCs w:val="0"/>
          <w:color w:val="auto"/>
          <w:sz w:val="21"/>
          <w:szCs w:val="21"/>
          <w:lang w:eastAsia="zh-CN"/>
        </w:rPr>
        <w:t>及申报材料</w:t>
      </w:r>
    </w:p>
    <w:p w14:paraId="32185847">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color w:val="auto"/>
          <w:sz w:val="21"/>
          <w:szCs w:val="21"/>
        </w:rPr>
      </w:pPr>
      <w:r>
        <w:rPr>
          <w:rFonts w:hint="eastAsia" w:ascii="黑体" w:hAnsi="黑体" w:eastAsia="黑体" w:cs="黑体"/>
          <w:color w:val="auto"/>
          <w:sz w:val="21"/>
          <w:szCs w:val="21"/>
          <w:lang w:val="en-US" w:eastAsia="zh-CN"/>
        </w:rPr>
        <w:t>7</w:t>
      </w:r>
      <w:r>
        <w:rPr>
          <w:rFonts w:hint="eastAsia" w:ascii="黑体" w:hAnsi="黑体" w:eastAsia="黑体" w:cs="黑体"/>
          <w:color w:val="auto"/>
          <w:sz w:val="21"/>
          <w:szCs w:val="21"/>
        </w:rPr>
        <w:t>.</w:t>
      </w:r>
      <w:r>
        <w:rPr>
          <w:rFonts w:hint="eastAsia" w:ascii="黑体" w:hAnsi="黑体" w:eastAsia="黑体" w:cs="黑体"/>
          <w:color w:val="auto"/>
          <w:sz w:val="21"/>
          <w:szCs w:val="21"/>
          <w:lang w:val="en-US" w:eastAsia="zh-CN"/>
        </w:rPr>
        <w:t>1  处置程序</w:t>
      </w:r>
    </w:p>
    <w:p w14:paraId="199F0466">
      <w:pPr>
        <w:pStyle w:val="140"/>
        <w:keepNext w:val="0"/>
        <w:keepLines w:val="0"/>
        <w:pageBreakBefore w:val="0"/>
        <w:widowControl w:val="0"/>
        <w:shd w:val="clear" w:color="auto" w:fill="auto"/>
        <w:kinsoku/>
        <w:wordWrap/>
        <w:overflowPunct/>
        <w:topLinePunct w:val="0"/>
        <w:autoSpaceDE/>
        <w:autoSpaceDN/>
        <w:bidi w:val="0"/>
        <w:adjustRightInd/>
        <w:snapToGrid w:val="0"/>
        <w:spacing w:before="0" w:line="520" w:lineRule="exact"/>
        <w:ind w:right="0"/>
        <w:jc w:val="left"/>
        <w:textAlignment w:val="auto"/>
        <w:rPr>
          <w:rFonts w:hint="eastAsia" w:ascii="宋体" w:hAnsi="宋体" w:eastAsia="宋体" w:cs="宋体"/>
          <w:color w:val="auto"/>
          <w:kern w:val="2"/>
          <w:sz w:val="21"/>
          <w:szCs w:val="21"/>
          <w:u w:val="none"/>
          <w:shd w:val="clear" w:color="auto" w:fill="auto"/>
          <w:lang w:val="en-US" w:eastAsia="zh-CN" w:bidi="ar-SA"/>
        </w:rPr>
      </w:pPr>
      <w:r>
        <w:rPr>
          <w:rFonts w:hint="eastAsia" w:ascii="黑体" w:hAnsi="黑体" w:eastAsia="黑体" w:cs="黑体"/>
          <w:b w:val="0"/>
          <w:bCs w:val="0"/>
          <w:color w:val="auto"/>
          <w:sz w:val="21"/>
          <w:szCs w:val="21"/>
          <w:lang w:val="en-US" w:eastAsia="zh-CN"/>
        </w:rPr>
        <w:t xml:space="preserve">7.1.1  </w:t>
      </w:r>
      <w:r>
        <w:rPr>
          <w:rFonts w:hint="eastAsia" w:ascii="宋体" w:hAnsi="宋体" w:eastAsia="宋体" w:cs="宋体"/>
          <w:color w:val="auto"/>
          <w:kern w:val="2"/>
          <w:sz w:val="21"/>
          <w:szCs w:val="21"/>
          <w:u w:val="none"/>
          <w:shd w:val="clear" w:color="auto" w:fill="auto"/>
          <w:lang w:val="en-US" w:eastAsia="zh-CN" w:bidi="ar-SA"/>
        </w:rPr>
        <w:t>单位对拟处置资产进行确权（权属、价值），履行单位内部处置程序。</w:t>
      </w:r>
    </w:p>
    <w:p w14:paraId="7034ADA2">
      <w:pPr>
        <w:pStyle w:val="140"/>
        <w:keepNext w:val="0"/>
        <w:keepLines w:val="0"/>
        <w:pageBreakBefore w:val="0"/>
        <w:widowControl w:val="0"/>
        <w:shd w:val="clear" w:color="auto" w:fill="auto"/>
        <w:kinsoku/>
        <w:wordWrap/>
        <w:overflowPunct/>
        <w:topLinePunct w:val="0"/>
        <w:autoSpaceDE/>
        <w:autoSpaceDN/>
        <w:bidi w:val="0"/>
        <w:adjustRightInd/>
        <w:snapToGrid w:val="0"/>
        <w:spacing w:before="0" w:line="520" w:lineRule="exact"/>
        <w:ind w:right="0"/>
        <w:jc w:val="left"/>
        <w:textAlignment w:val="auto"/>
        <w:rPr>
          <w:rFonts w:hint="eastAsia" w:ascii="宋体" w:hAnsi="宋体" w:eastAsia="宋体" w:cs="宋体"/>
          <w:color w:val="auto"/>
          <w:kern w:val="2"/>
          <w:sz w:val="21"/>
          <w:szCs w:val="21"/>
          <w:u w:val="none"/>
          <w:shd w:val="clear" w:color="auto" w:fill="auto"/>
          <w:lang w:val="en-US" w:eastAsia="zh-CN" w:bidi="ar-SA"/>
        </w:rPr>
      </w:pPr>
      <w:r>
        <w:rPr>
          <w:rFonts w:hint="eastAsia" w:ascii="黑体" w:hAnsi="黑体" w:eastAsia="黑体" w:cs="黑体"/>
          <w:color w:val="auto"/>
          <w:kern w:val="2"/>
          <w:sz w:val="21"/>
          <w:szCs w:val="21"/>
          <w:u w:val="none"/>
          <w:shd w:val="clear" w:color="auto" w:fill="auto"/>
          <w:lang w:val="en-US" w:eastAsia="zh-CN" w:bidi="ar-SA"/>
        </w:rPr>
        <w:t>7.1.2</w:t>
      </w:r>
      <w:r>
        <w:rPr>
          <w:rFonts w:hint="eastAsia" w:cs="宋体"/>
          <w:color w:val="auto"/>
          <w:kern w:val="2"/>
          <w:sz w:val="21"/>
          <w:szCs w:val="21"/>
          <w:u w:val="none"/>
          <w:shd w:val="clear" w:color="auto" w:fill="auto"/>
          <w:lang w:val="en-US" w:eastAsia="zh-CN" w:bidi="ar-SA"/>
        </w:rPr>
        <w:t xml:space="preserve">  </w:t>
      </w:r>
      <w:r>
        <w:rPr>
          <w:rFonts w:hint="eastAsia" w:ascii="宋体" w:hAnsi="宋体" w:eastAsia="宋体" w:cs="宋体"/>
          <w:color w:val="auto"/>
          <w:kern w:val="2"/>
          <w:sz w:val="21"/>
          <w:szCs w:val="21"/>
          <w:u w:val="none"/>
          <w:shd w:val="clear" w:color="auto" w:fill="auto"/>
          <w:lang w:val="en-US" w:eastAsia="zh-CN" w:bidi="ar-SA"/>
        </w:rPr>
        <w:t>单位将</w:t>
      </w:r>
      <w:r>
        <w:rPr>
          <w:rFonts w:hint="eastAsia" w:cs="宋体"/>
          <w:color w:val="auto"/>
          <w:kern w:val="2"/>
          <w:sz w:val="21"/>
          <w:szCs w:val="21"/>
          <w:u w:val="none"/>
          <w:shd w:val="clear" w:color="auto" w:fill="auto"/>
          <w:lang w:val="en-US" w:eastAsia="zh-CN" w:bidi="ar-SA"/>
        </w:rPr>
        <w:t>待</w:t>
      </w:r>
      <w:r>
        <w:rPr>
          <w:rFonts w:hint="eastAsia" w:ascii="宋体" w:hAnsi="宋体" w:eastAsia="宋体" w:cs="宋体"/>
          <w:color w:val="auto"/>
          <w:kern w:val="2"/>
          <w:sz w:val="21"/>
          <w:szCs w:val="21"/>
          <w:u w:val="none"/>
          <w:shd w:val="clear" w:color="auto" w:fill="auto"/>
          <w:lang w:val="en-US" w:eastAsia="zh-CN" w:bidi="ar-SA"/>
        </w:rPr>
        <w:t>处置</w:t>
      </w:r>
      <w:r>
        <w:rPr>
          <w:rFonts w:hint="eastAsia" w:cs="宋体"/>
          <w:color w:val="auto"/>
          <w:kern w:val="2"/>
          <w:sz w:val="21"/>
          <w:szCs w:val="21"/>
          <w:u w:val="none"/>
          <w:shd w:val="clear" w:color="auto" w:fill="auto"/>
          <w:lang w:val="en-US" w:eastAsia="zh-CN" w:bidi="ar-SA"/>
        </w:rPr>
        <w:t>资产</w:t>
      </w:r>
      <w:r>
        <w:rPr>
          <w:rFonts w:hint="eastAsia" w:ascii="宋体" w:hAnsi="宋体" w:eastAsia="宋体" w:cs="宋体"/>
          <w:color w:val="auto"/>
          <w:kern w:val="2"/>
          <w:sz w:val="21"/>
          <w:szCs w:val="21"/>
          <w:u w:val="none"/>
          <w:shd w:val="clear" w:color="auto" w:fill="auto"/>
          <w:lang w:val="en-US" w:eastAsia="zh-CN" w:bidi="ar-SA"/>
        </w:rPr>
        <w:t>（有明确接收单位的除外）清单交同级公物仓管理部门进行筛选，公物仓管理部门对符合入仓条件的资产提出收储意见。</w:t>
      </w:r>
    </w:p>
    <w:p w14:paraId="37E4209A">
      <w:pPr>
        <w:pStyle w:val="140"/>
        <w:keepNext w:val="0"/>
        <w:keepLines w:val="0"/>
        <w:pageBreakBefore w:val="0"/>
        <w:widowControl w:val="0"/>
        <w:shd w:val="clear" w:color="auto" w:fill="auto"/>
        <w:kinsoku/>
        <w:wordWrap/>
        <w:overflowPunct/>
        <w:topLinePunct w:val="0"/>
        <w:autoSpaceDE/>
        <w:autoSpaceDN/>
        <w:bidi w:val="0"/>
        <w:adjustRightInd/>
        <w:snapToGrid w:val="0"/>
        <w:spacing w:before="0" w:line="520" w:lineRule="exact"/>
        <w:ind w:right="0"/>
        <w:jc w:val="left"/>
        <w:textAlignment w:val="auto"/>
        <w:rPr>
          <w:rFonts w:hint="eastAsia" w:ascii="宋体" w:hAnsi="宋体" w:eastAsia="宋体" w:cs="宋体"/>
          <w:color w:val="auto"/>
          <w:kern w:val="2"/>
          <w:sz w:val="21"/>
          <w:szCs w:val="21"/>
          <w:u w:val="none"/>
          <w:shd w:val="clear" w:color="auto" w:fill="auto"/>
          <w:lang w:val="en-US" w:eastAsia="zh-CN" w:bidi="ar-SA"/>
        </w:rPr>
      </w:pPr>
      <w:r>
        <w:rPr>
          <w:rFonts w:hint="eastAsia" w:ascii="黑体" w:hAnsi="黑体" w:eastAsia="黑体" w:cs="黑体"/>
          <w:color w:val="auto"/>
          <w:kern w:val="2"/>
          <w:sz w:val="21"/>
          <w:szCs w:val="21"/>
          <w:u w:val="none"/>
          <w:shd w:val="clear" w:color="auto" w:fill="auto"/>
          <w:lang w:val="en-US" w:eastAsia="zh-CN" w:bidi="ar-SA"/>
        </w:rPr>
        <w:t xml:space="preserve">7.1.3  </w:t>
      </w:r>
      <w:r>
        <w:rPr>
          <w:rFonts w:hint="eastAsia" w:ascii="宋体" w:hAnsi="宋体" w:eastAsia="宋体" w:cs="宋体"/>
          <w:color w:val="auto"/>
          <w:kern w:val="2"/>
          <w:sz w:val="21"/>
          <w:szCs w:val="21"/>
          <w:u w:val="none"/>
          <w:shd w:val="clear" w:color="auto" w:fill="auto"/>
          <w:lang w:val="en-US" w:eastAsia="zh-CN" w:bidi="ar-SA"/>
        </w:rPr>
        <w:t>单位审批权限内的资产处置由单位自行审批，主管单位审批权限内的资产处置由单位报送给主管部门审批，资产主管部门审批权限内的资产处置由单位报请主管部门审核后报资产主管部门审批。</w:t>
      </w:r>
    </w:p>
    <w:p w14:paraId="5AD564B8">
      <w:pPr>
        <w:pStyle w:val="140"/>
        <w:keepNext w:val="0"/>
        <w:keepLines w:val="0"/>
        <w:pageBreakBefore w:val="0"/>
        <w:widowControl w:val="0"/>
        <w:shd w:val="clear" w:color="auto" w:fill="auto"/>
        <w:kinsoku/>
        <w:wordWrap/>
        <w:overflowPunct/>
        <w:topLinePunct w:val="0"/>
        <w:autoSpaceDE/>
        <w:autoSpaceDN/>
        <w:bidi w:val="0"/>
        <w:adjustRightInd/>
        <w:snapToGrid w:val="0"/>
        <w:spacing w:before="0" w:line="520" w:lineRule="exact"/>
        <w:ind w:right="0"/>
        <w:jc w:val="left"/>
        <w:textAlignment w:val="auto"/>
        <w:rPr>
          <w:rFonts w:hint="eastAsia" w:ascii="宋体" w:hAnsi="宋体" w:eastAsia="宋体" w:cs="宋体"/>
          <w:color w:val="auto"/>
          <w:kern w:val="2"/>
          <w:sz w:val="21"/>
          <w:szCs w:val="21"/>
          <w:u w:val="none"/>
          <w:shd w:val="clear" w:color="auto" w:fill="auto"/>
          <w:lang w:val="en-US" w:eastAsia="zh-CN" w:bidi="ar-SA"/>
        </w:rPr>
      </w:pPr>
      <w:r>
        <w:rPr>
          <w:rFonts w:hint="eastAsia" w:ascii="黑体" w:hAnsi="黑体" w:eastAsia="黑体" w:cs="黑体"/>
          <w:color w:val="auto"/>
          <w:kern w:val="2"/>
          <w:sz w:val="21"/>
          <w:szCs w:val="21"/>
          <w:u w:val="none"/>
          <w:shd w:val="clear" w:color="auto" w:fill="auto"/>
          <w:lang w:val="en-US" w:eastAsia="zh-CN" w:bidi="ar-SA"/>
        </w:rPr>
        <w:t xml:space="preserve">7.1.4 </w:t>
      </w:r>
      <w:r>
        <w:rPr>
          <w:rFonts w:hint="eastAsia" w:ascii="宋体" w:hAnsi="宋体" w:eastAsia="宋体" w:cs="宋体"/>
          <w:color w:val="auto"/>
          <w:kern w:val="2"/>
          <w:sz w:val="21"/>
          <w:szCs w:val="21"/>
          <w:u w:val="none"/>
          <w:shd w:val="clear" w:color="auto" w:fill="auto"/>
          <w:lang w:val="en-US" w:eastAsia="zh-CN" w:bidi="ar-SA"/>
        </w:rPr>
        <w:t xml:space="preserve"> 单位根据审批意见履行相关手续，进行分类处置。</w:t>
      </w:r>
      <w:r>
        <w:rPr>
          <w:rFonts w:hint="eastAsia" w:cs="宋体"/>
          <w:color w:val="auto"/>
          <w:kern w:val="2"/>
          <w:sz w:val="21"/>
          <w:szCs w:val="21"/>
          <w:u w:val="none"/>
          <w:shd w:val="clear" w:color="auto" w:fill="auto"/>
          <w:lang w:val="en-US" w:eastAsia="zh-CN" w:bidi="ar-SA"/>
        </w:rPr>
        <w:t>涉及转让、置换的，</w:t>
      </w:r>
      <w:r>
        <w:rPr>
          <w:rFonts w:hint="eastAsia" w:ascii="宋体" w:hAnsi="宋体" w:eastAsia="宋体" w:cs="宋体"/>
          <w:color w:val="auto"/>
          <w:kern w:val="2"/>
          <w:sz w:val="21"/>
          <w:szCs w:val="21"/>
          <w:u w:val="none"/>
          <w:shd w:val="clear" w:color="auto" w:fill="auto"/>
          <w:lang w:val="en-US" w:eastAsia="zh-CN" w:bidi="ar-SA"/>
        </w:rPr>
        <w:t>应当通过公共资源交易平台或者有资质的产权交易机构采取拍卖等方式进行，</w:t>
      </w:r>
      <w:r>
        <w:rPr>
          <w:rFonts w:hint="eastAsia" w:ascii="宋体" w:hAnsi="宋体" w:eastAsia="宋体" w:cs="宋体"/>
          <w:color w:val="auto"/>
          <w:spacing w:val="0"/>
          <w:w w:val="100"/>
          <w:position w:val="0"/>
          <w:sz w:val="21"/>
          <w:szCs w:val="21"/>
          <w:lang w:val="en-US" w:eastAsia="en-US" w:bidi="en-US"/>
        </w:rPr>
        <w:t>鼓励通过网络拍卖等方式处置。</w:t>
      </w:r>
      <w:r>
        <w:rPr>
          <w:rFonts w:hint="eastAsia" w:ascii="宋体" w:hAnsi="宋体" w:eastAsia="宋体" w:cs="宋体"/>
          <w:color w:val="auto"/>
          <w:kern w:val="2"/>
          <w:sz w:val="21"/>
          <w:szCs w:val="21"/>
          <w:u w:val="none"/>
          <w:shd w:val="clear" w:color="auto" w:fill="auto"/>
          <w:lang w:val="en-US" w:eastAsia="zh-CN" w:bidi="ar-SA"/>
        </w:rPr>
        <w:t>需进行资产评估的，委托有资质的资产评估机构进行事先评估</w:t>
      </w:r>
      <w:r>
        <w:rPr>
          <w:rFonts w:hint="eastAsia" w:cs="宋体"/>
          <w:color w:val="auto"/>
          <w:kern w:val="2"/>
          <w:sz w:val="21"/>
          <w:szCs w:val="21"/>
          <w:u w:val="none"/>
          <w:shd w:val="clear" w:color="auto" w:fill="auto"/>
          <w:lang w:val="en-US" w:eastAsia="zh-CN" w:bidi="ar-SA"/>
        </w:rPr>
        <w:t>。</w:t>
      </w:r>
    </w:p>
    <w:p w14:paraId="2E82977B">
      <w:pPr>
        <w:pStyle w:val="140"/>
        <w:keepNext w:val="0"/>
        <w:keepLines w:val="0"/>
        <w:pageBreakBefore w:val="0"/>
        <w:widowControl w:val="0"/>
        <w:shd w:val="clear" w:color="auto" w:fill="auto"/>
        <w:kinsoku/>
        <w:wordWrap/>
        <w:overflowPunct/>
        <w:topLinePunct w:val="0"/>
        <w:autoSpaceDE/>
        <w:autoSpaceDN/>
        <w:bidi w:val="0"/>
        <w:adjustRightInd/>
        <w:snapToGrid w:val="0"/>
        <w:spacing w:before="0" w:line="520" w:lineRule="exact"/>
        <w:ind w:right="0"/>
        <w:jc w:val="left"/>
        <w:textAlignment w:val="auto"/>
        <w:rPr>
          <w:rFonts w:hint="eastAsia" w:ascii="宋体" w:hAnsi="宋体" w:eastAsia="宋体" w:cs="宋体"/>
          <w:color w:val="auto"/>
          <w:kern w:val="2"/>
          <w:sz w:val="21"/>
          <w:szCs w:val="21"/>
          <w:u w:val="none"/>
          <w:shd w:val="clear" w:color="auto" w:fill="auto"/>
          <w:lang w:val="en-US" w:eastAsia="zh-CN" w:bidi="ar-SA"/>
        </w:rPr>
      </w:pPr>
      <w:r>
        <w:rPr>
          <w:rFonts w:hint="eastAsia" w:ascii="黑体" w:hAnsi="黑体" w:eastAsia="黑体" w:cs="黑体"/>
          <w:color w:val="auto"/>
          <w:kern w:val="2"/>
          <w:sz w:val="21"/>
          <w:szCs w:val="21"/>
          <w:u w:val="none"/>
          <w:shd w:val="clear" w:color="auto" w:fill="auto"/>
          <w:lang w:val="en-US" w:eastAsia="zh-CN" w:bidi="ar-SA"/>
        </w:rPr>
        <w:t>7.1.5</w:t>
      </w:r>
      <w:r>
        <w:rPr>
          <w:rFonts w:hint="eastAsia" w:cs="宋体"/>
          <w:color w:val="auto"/>
          <w:kern w:val="2"/>
          <w:sz w:val="21"/>
          <w:szCs w:val="21"/>
          <w:u w:val="none"/>
          <w:shd w:val="clear" w:color="auto" w:fill="auto"/>
          <w:lang w:val="en-US" w:eastAsia="zh-CN" w:bidi="ar-SA"/>
        </w:rPr>
        <w:t xml:space="preserve">  </w:t>
      </w:r>
      <w:r>
        <w:rPr>
          <w:rFonts w:hint="eastAsia" w:ascii="宋体" w:hAnsi="宋体" w:eastAsia="宋体" w:cs="宋体"/>
          <w:color w:val="auto"/>
          <w:kern w:val="2"/>
          <w:sz w:val="21"/>
          <w:szCs w:val="21"/>
          <w:u w:val="none"/>
          <w:shd w:val="clear" w:color="auto" w:fill="auto"/>
          <w:lang w:val="en-US" w:eastAsia="zh-CN" w:bidi="ar-SA"/>
        </w:rPr>
        <w:t>单位按照资产管理要求，向资产主管部门报备资产处置情况。</w:t>
      </w:r>
    </w:p>
    <w:p w14:paraId="1DFE2062">
      <w:pPr>
        <w:pStyle w:val="140"/>
        <w:keepNext w:val="0"/>
        <w:keepLines w:val="0"/>
        <w:pageBreakBefore w:val="0"/>
        <w:widowControl w:val="0"/>
        <w:shd w:val="clear" w:color="auto" w:fill="auto"/>
        <w:kinsoku/>
        <w:wordWrap/>
        <w:overflowPunct/>
        <w:topLinePunct w:val="0"/>
        <w:autoSpaceDE/>
        <w:autoSpaceDN/>
        <w:bidi w:val="0"/>
        <w:adjustRightInd/>
        <w:snapToGrid w:val="0"/>
        <w:spacing w:before="0" w:line="520" w:lineRule="exact"/>
        <w:ind w:right="0"/>
        <w:jc w:val="left"/>
        <w:textAlignment w:val="auto"/>
        <w:rPr>
          <w:rFonts w:hint="eastAsia" w:ascii="黑体" w:hAnsi="黑体" w:eastAsia="黑体" w:cs="黑体"/>
          <w:color w:val="000000"/>
          <w:spacing w:val="0"/>
          <w:w w:val="100"/>
          <w:position w:val="0"/>
          <w:sz w:val="18"/>
          <w:szCs w:val="18"/>
          <w:lang w:val="en-US" w:eastAsia="zh-CN" w:bidi="en-US"/>
        </w:rPr>
      </w:pPr>
      <w:r>
        <w:rPr>
          <w:rFonts w:hint="eastAsia" w:ascii="黑体" w:hAnsi="黑体" w:eastAsia="黑体" w:cs="黑体"/>
          <w:color w:val="auto"/>
          <w:kern w:val="2"/>
          <w:sz w:val="21"/>
          <w:szCs w:val="21"/>
          <w:u w:val="none"/>
          <w:shd w:val="clear" w:color="auto" w:fill="auto"/>
          <w:lang w:val="en-US" w:eastAsia="zh-CN" w:bidi="ar-SA"/>
        </w:rPr>
        <w:t>7.1.6</w:t>
      </w:r>
      <w:r>
        <w:rPr>
          <w:rFonts w:hint="eastAsia" w:cs="宋体"/>
          <w:color w:val="auto"/>
          <w:kern w:val="2"/>
          <w:sz w:val="21"/>
          <w:szCs w:val="21"/>
          <w:u w:val="none"/>
          <w:shd w:val="clear" w:color="auto" w:fill="auto"/>
          <w:lang w:val="en-US" w:eastAsia="zh-CN" w:bidi="ar-SA"/>
        </w:rPr>
        <w:t xml:space="preserve">  </w:t>
      </w:r>
      <w:r>
        <w:rPr>
          <w:rFonts w:hint="eastAsia" w:ascii="宋体" w:hAnsi="宋体" w:eastAsia="宋体" w:cs="宋体"/>
          <w:color w:val="auto"/>
          <w:kern w:val="2"/>
          <w:sz w:val="21"/>
          <w:szCs w:val="21"/>
          <w:u w:val="none"/>
          <w:shd w:val="clear" w:color="auto" w:fill="auto"/>
          <w:lang w:val="en-US" w:eastAsia="zh-CN" w:bidi="ar-SA"/>
        </w:rPr>
        <w:t>单位应根据处置结果，及时核销相关资产台账，同时进行会计处理，确保账实相符、账账相符。</w:t>
      </w:r>
    </w:p>
    <w:p w14:paraId="2DB33258">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黑体" w:hAnsi="黑体" w:eastAsia="黑体" w:cs="黑体"/>
          <w:b w:val="0"/>
          <w:bCs w:val="0"/>
          <w:color w:val="auto"/>
          <w:spacing w:val="0"/>
          <w:w w:val="100"/>
          <w:position w:val="0"/>
          <w:sz w:val="21"/>
          <w:szCs w:val="21"/>
          <w:lang w:val="en-US" w:eastAsia="zh-CN"/>
        </w:rPr>
      </w:pPr>
      <w:r>
        <w:rPr>
          <w:rFonts w:hint="eastAsia" w:ascii="黑体" w:hAnsi="黑体" w:eastAsia="黑体" w:cs="黑体"/>
          <w:b w:val="0"/>
          <w:bCs w:val="0"/>
          <w:color w:val="auto"/>
          <w:spacing w:val="0"/>
          <w:w w:val="100"/>
          <w:position w:val="0"/>
          <w:sz w:val="21"/>
          <w:szCs w:val="21"/>
          <w:lang w:val="en-US" w:eastAsia="zh-CN"/>
        </w:rPr>
        <w:t>7.2  申报材料</w:t>
      </w:r>
    </w:p>
    <w:p w14:paraId="1B6BF2B3">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pacing w:val="0"/>
          <w:w w:val="100"/>
          <w:kern w:val="2"/>
          <w:position w:val="0"/>
          <w:sz w:val="21"/>
          <w:szCs w:val="21"/>
          <w:u w:val="none"/>
          <w:shd w:val="clear" w:color="auto" w:fill="auto"/>
          <w:lang w:val="en-US" w:eastAsia="en-US" w:bidi="en-US"/>
        </w:rPr>
      </w:pPr>
      <w:r>
        <w:rPr>
          <w:rFonts w:hint="eastAsia" w:ascii="宋体" w:hAnsi="宋体" w:eastAsia="宋体" w:cs="宋体"/>
          <w:color w:val="auto"/>
          <w:spacing w:val="0"/>
          <w:w w:val="100"/>
          <w:kern w:val="2"/>
          <w:position w:val="0"/>
          <w:sz w:val="21"/>
          <w:szCs w:val="21"/>
          <w:u w:val="none"/>
          <w:shd w:val="clear" w:color="auto" w:fill="auto"/>
          <w:lang w:val="en-US" w:eastAsia="en-US" w:bidi="en-US"/>
        </w:rPr>
        <w:t>资产处置根据不同情形</w:t>
      </w:r>
      <w:r>
        <w:rPr>
          <w:rFonts w:hint="eastAsia" w:ascii="宋体" w:hAnsi="宋体" w:eastAsia="宋体" w:cs="宋体"/>
          <w:color w:val="auto"/>
          <w:spacing w:val="0"/>
          <w:w w:val="100"/>
          <w:kern w:val="2"/>
          <w:position w:val="0"/>
          <w:sz w:val="21"/>
          <w:szCs w:val="21"/>
          <w:u w:val="none"/>
          <w:shd w:val="clear" w:color="auto" w:fill="auto"/>
          <w:lang w:val="en-US" w:eastAsia="zh-CN" w:bidi="en-US"/>
        </w:rPr>
        <w:t>提供相对应的</w:t>
      </w:r>
      <w:r>
        <w:rPr>
          <w:rFonts w:hint="eastAsia" w:ascii="宋体" w:hAnsi="宋体" w:eastAsia="宋体" w:cs="宋体"/>
          <w:color w:val="auto"/>
          <w:spacing w:val="0"/>
          <w:w w:val="100"/>
          <w:kern w:val="2"/>
          <w:position w:val="0"/>
          <w:sz w:val="21"/>
          <w:szCs w:val="21"/>
          <w:u w:val="none"/>
          <w:shd w:val="clear" w:color="auto" w:fill="auto"/>
          <w:lang w:val="en-US" w:eastAsia="en-US" w:bidi="en-US"/>
        </w:rPr>
        <w:t>资料：</w:t>
      </w:r>
    </w:p>
    <w:p w14:paraId="3E32E383">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pacing w:val="0"/>
          <w:w w:val="100"/>
          <w:kern w:val="2"/>
          <w:position w:val="0"/>
          <w:sz w:val="21"/>
          <w:szCs w:val="21"/>
          <w:u w:val="none"/>
          <w:shd w:val="clear" w:color="auto" w:fill="auto"/>
          <w:lang w:val="en-US" w:eastAsia="en-US" w:bidi="en-US"/>
        </w:rPr>
      </w:pPr>
      <w:r>
        <w:rPr>
          <w:rFonts w:hint="eastAsia" w:ascii="宋体" w:hAnsi="宋体" w:eastAsia="宋体" w:cs="宋体"/>
          <w:color w:val="auto"/>
          <w:spacing w:val="0"/>
          <w:w w:val="100"/>
          <w:position w:val="0"/>
          <w:sz w:val="21"/>
          <w:szCs w:val="21"/>
          <w:lang w:val="en-US" w:eastAsia="zh-CN" w:bidi="en-US"/>
        </w:rPr>
        <w:t>a</w:t>
      </w:r>
      <w:r>
        <w:rPr>
          <w:rFonts w:hint="eastAsia" w:ascii="宋体" w:hAnsi="宋体" w:eastAsia="宋体" w:cs="宋体"/>
          <w:color w:val="auto"/>
          <w:spacing w:val="0"/>
          <w:w w:val="100"/>
          <w:position w:val="0"/>
          <w:sz w:val="21"/>
          <w:szCs w:val="21"/>
          <w:lang w:val="en-US" w:eastAsia="en-US" w:bidi="en-US"/>
        </w:rPr>
        <w:t>)</w:t>
      </w:r>
      <w:r>
        <w:rPr>
          <w:rFonts w:hint="eastAsia" w:ascii="宋体" w:hAnsi="宋体" w:eastAsia="宋体" w:cs="宋体"/>
          <w:color w:val="auto"/>
          <w:spacing w:val="0"/>
          <w:w w:val="100"/>
          <w:position w:val="0"/>
          <w:sz w:val="21"/>
          <w:szCs w:val="21"/>
          <w:lang w:val="en-US" w:eastAsia="zh-CN" w:bidi="en-US"/>
        </w:rPr>
        <w:t xml:space="preserve"> </w:t>
      </w:r>
      <w:r>
        <w:rPr>
          <w:rFonts w:hint="eastAsia" w:ascii="宋体" w:hAnsi="宋体" w:cs="宋体"/>
          <w:color w:val="auto"/>
          <w:spacing w:val="0"/>
          <w:w w:val="100"/>
          <w:position w:val="0"/>
          <w:sz w:val="21"/>
          <w:szCs w:val="21"/>
          <w:lang w:val="en-US" w:eastAsia="zh-CN" w:bidi="en-US"/>
        </w:rPr>
        <w:t xml:space="preserve"> </w:t>
      </w:r>
      <w:r>
        <w:rPr>
          <w:rFonts w:hint="eastAsia" w:ascii="宋体" w:hAnsi="宋体" w:eastAsia="宋体" w:cs="宋体"/>
          <w:color w:val="auto"/>
          <w:spacing w:val="0"/>
          <w:w w:val="100"/>
          <w:kern w:val="2"/>
          <w:position w:val="0"/>
          <w:sz w:val="21"/>
          <w:szCs w:val="21"/>
          <w:u w:val="none"/>
          <w:shd w:val="clear" w:color="auto" w:fill="auto"/>
          <w:lang w:val="en-US" w:eastAsia="en-US" w:bidi="en-US"/>
        </w:rPr>
        <w:t>资产处置申请</w:t>
      </w:r>
      <w:r>
        <w:rPr>
          <w:rFonts w:hint="eastAsia" w:ascii="宋体" w:hAnsi="宋体" w:eastAsia="宋体" w:cs="宋体"/>
          <w:color w:val="auto"/>
          <w:spacing w:val="0"/>
          <w:w w:val="100"/>
          <w:kern w:val="2"/>
          <w:position w:val="0"/>
          <w:sz w:val="21"/>
          <w:szCs w:val="21"/>
          <w:u w:val="none"/>
          <w:shd w:val="clear" w:color="auto" w:fill="auto"/>
          <w:lang w:val="en-US" w:eastAsia="zh-CN" w:bidi="en-US"/>
        </w:rPr>
        <w:t>函</w:t>
      </w:r>
      <w:r>
        <w:rPr>
          <w:rFonts w:hint="eastAsia" w:ascii="宋体" w:hAnsi="宋体" w:eastAsia="宋体" w:cs="宋体"/>
          <w:color w:val="auto"/>
          <w:spacing w:val="0"/>
          <w:w w:val="100"/>
          <w:kern w:val="2"/>
          <w:position w:val="0"/>
          <w:sz w:val="21"/>
          <w:szCs w:val="21"/>
          <w:u w:val="none"/>
          <w:shd w:val="clear" w:color="auto" w:fill="auto"/>
          <w:lang w:val="en-US" w:eastAsia="en-US" w:bidi="en-US"/>
        </w:rPr>
        <w:t>；</w:t>
      </w:r>
    </w:p>
    <w:p w14:paraId="448A3F6C">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pacing w:val="0"/>
          <w:w w:val="100"/>
          <w:kern w:val="2"/>
          <w:position w:val="0"/>
          <w:sz w:val="21"/>
          <w:szCs w:val="21"/>
          <w:u w:val="none"/>
          <w:shd w:val="clear" w:color="auto" w:fill="auto"/>
          <w:lang w:val="en-US" w:eastAsia="en-US" w:bidi="en-US"/>
        </w:rPr>
      </w:pPr>
      <w:r>
        <w:rPr>
          <w:rFonts w:hint="eastAsia" w:ascii="宋体" w:hAnsi="宋体" w:eastAsia="宋体" w:cs="宋体"/>
          <w:color w:val="auto"/>
          <w:spacing w:val="0"/>
          <w:w w:val="100"/>
          <w:position w:val="0"/>
          <w:sz w:val="21"/>
          <w:szCs w:val="21"/>
          <w:lang w:val="en-US" w:eastAsia="en-US" w:bidi="en-US"/>
        </w:rPr>
        <w:t xml:space="preserve">b) </w:t>
      </w:r>
      <w:r>
        <w:rPr>
          <w:rFonts w:hint="eastAsia" w:ascii="宋体" w:hAnsi="宋体" w:cs="宋体"/>
          <w:color w:val="auto"/>
          <w:spacing w:val="0"/>
          <w:w w:val="100"/>
          <w:position w:val="0"/>
          <w:sz w:val="21"/>
          <w:szCs w:val="21"/>
          <w:lang w:val="en-US" w:eastAsia="zh-CN" w:bidi="en-US"/>
        </w:rPr>
        <w:t xml:space="preserve"> </w:t>
      </w:r>
      <w:r>
        <w:rPr>
          <w:rFonts w:hint="eastAsia" w:ascii="宋体" w:hAnsi="宋体" w:eastAsia="宋体" w:cs="宋体"/>
          <w:color w:val="auto"/>
          <w:spacing w:val="0"/>
          <w:w w:val="100"/>
          <w:kern w:val="2"/>
          <w:position w:val="0"/>
          <w:sz w:val="21"/>
          <w:szCs w:val="21"/>
          <w:u w:val="none"/>
          <w:shd w:val="clear" w:color="auto" w:fill="auto"/>
          <w:lang w:val="en-US" w:eastAsia="en-US" w:bidi="en-US"/>
        </w:rPr>
        <w:t>资产处置</w:t>
      </w:r>
      <w:r>
        <w:rPr>
          <w:rFonts w:hint="eastAsia" w:ascii="宋体" w:hAnsi="宋体" w:eastAsia="宋体" w:cs="宋体"/>
          <w:color w:val="auto"/>
          <w:spacing w:val="0"/>
          <w:w w:val="100"/>
          <w:kern w:val="2"/>
          <w:position w:val="0"/>
          <w:sz w:val="21"/>
          <w:szCs w:val="21"/>
          <w:u w:val="none"/>
          <w:shd w:val="clear" w:color="auto" w:fill="auto"/>
          <w:lang w:val="en-US" w:eastAsia="zh-CN" w:bidi="en-US"/>
        </w:rPr>
        <w:t>审批表（含资产</w:t>
      </w:r>
      <w:r>
        <w:rPr>
          <w:rFonts w:hint="eastAsia" w:ascii="宋体" w:hAnsi="宋体" w:eastAsia="宋体" w:cs="宋体"/>
          <w:color w:val="auto"/>
          <w:spacing w:val="0"/>
          <w:w w:val="100"/>
          <w:kern w:val="2"/>
          <w:position w:val="0"/>
          <w:sz w:val="21"/>
          <w:szCs w:val="21"/>
          <w:u w:val="none"/>
          <w:shd w:val="clear" w:color="auto" w:fill="auto"/>
          <w:lang w:val="en-US" w:eastAsia="en-US" w:bidi="en-US"/>
        </w:rPr>
        <w:t>明细</w:t>
      </w:r>
      <w:r>
        <w:rPr>
          <w:rFonts w:hint="eastAsia" w:ascii="宋体" w:hAnsi="宋体" w:eastAsia="宋体" w:cs="宋体"/>
          <w:color w:val="auto"/>
          <w:spacing w:val="0"/>
          <w:w w:val="100"/>
          <w:kern w:val="2"/>
          <w:position w:val="0"/>
          <w:sz w:val="21"/>
          <w:szCs w:val="21"/>
          <w:u w:val="none"/>
          <w:shd w:val="clear" w:color="auto" w:fill="auto"/>
          <w:lang w:val="en-US" w:eastAsia="zh-CN" w:bidi="en-US"/>
        </w:rPr>
        <w:t>）</w:t>
      </w:r>
      <w:r>
        <w:rPr>
          <w:rFonts w:hint="eastAsia" w:ascii="宋体" w:hAnsi="宋体" w:eastAsia="宋体" w:cs="宋体"/>
          <w:color w:val="auto"/>
          <w:spacing w:val="0"/>
          <w:w w:val="100"/>
          <w:kern w:val="2"/>
          <w:position w:val="0"/>
          <w:sz w:val="21"/>
          <w:szCs w:val="21"/>
          <w:u w:val="none"/>
          <w:shd w:val="clear" w:color="auto" w:fill="auto"/>
          <w:lang w:val="en-US" w:eastAsia="en-US" w:bidi="en-US"/>
        </w:rPr>
        <w:t>；</w:t>
      </w:r>
    </w:p>
    <w:p w14:paraId="10878F32">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pacing w:val="0"/>
          <w:w w:val="100"/>
          <w:kern w:val="2"/>
          <w:position w:val="0"/>
          <w:sz w:val="21"/>
          <w:szCs w:val="21"/>
          <w:u w:val="none"/>
          <w:shd w:val="clear" w:color="auto" w:fill="auto"/>
          <w:lang w:val="en-US" w:eastAsia="en-US" w:bidi="en-US"/>
        </w:rPr>
      </w:pPr>
      <w:r>
        <w:rPr>
          <w:rFonts w:hint="eastAsia" w:ascii="宋体" w:hAnsi="宋体" w:eastAsia="宋体" w:cs="宋体"/>
          <w:color w:val="auto"/>
          <w:spacing w:val="0"/>
          <w:w w:val="100"/>
          <w:position w:val="0"/>
          <w:sz w:val="21"/>
          <w:szCs w:val="21"/>
          <w:lang w:val="en-US" w:eastAsia="zh-CN" w:bidi="en-US"/>
        </w:rPr>
        <w:t>c</w:t>
      </w:r>
      <w:r>
        <w:rPr>
          <w:rFonts w:hint="eastAsia" w:ascii="宋体" w:hAnsi="宋体" w:eastAsia="宋体" w:cs="宋体"/>
          <w:color w:val="auto"/>
          <w:spacing w:val="0"/>
          <w:w w:val="100"/>
          <w:position w:val="0"/>
          <w:sz w:val="21"/>
          <w:szCs w:val="21"/>
          <w:lang w:val="en-US" w:eastAsia="en-US" w:bidi="en-US"/>
        </w:rPr>
        <w:t>)</w:t>
      </w:r>
      <w:r>
        <w:rPr>
          <w:rFonts w:hint="eastAsia" w:ascii="宋体" w:hAnsi="宋体" w:eastAsia="宋体" w:cs="宋体"/>
          <w:color w:val="auto"/>
          <w:spacing w:val="0"/>
          <w:w w:val="100"/>
          <w:position w:val="0"/>
          <w:sz w:val="21"/>
          <w:szCs w:val="21"/>
          <w:lang w:val="en-US" w:eastAsia="zh-CN" w:bidi="en-US"/>
        </w:rPr>
        <w:t xml:space="preserve"> </w:t>
      </w:r>
      <w:r>
        <w:rPr>
          <w:rFonts w:hint="eastAsia" w:ascii="宋体" w:hAnsi="宋体" w:cs="宋体"/>
          <w:color w:val="auto"/>
          <w:spacing w:val="0"/>
          <w:w w:val="100"/>
          <w:position w:val="0"/>
          <w:sz w:val="21"/>
          <w:szCs w:val="21"/>
          <w:lang w:val="en-US" w:eastAsia="zh-CN" w:bidi="en-US"/>
        </w:rPr>
        <w:t xml:space="preserve"> </w:t>
      </w:r>
      <w:r>
        <w:rPr>
          <w:rFonts w:hint="eastAsia" w:ascii="宋体" w:hAnsi="宋体" w:eastAsia="宋体" w:cs="宋体"/>
          <w:color w:val="auto"/>
          <w:spacing w:val="0"/>
          <w:w w:val="100"/>
          <w:kern w:val="2"/>
          <w:position w:val="0"/>
          <w:sz w:val="21"/>
          <w:szCs w:val="21"/>
          <w:u w:val="none"/>
          <w:shd w:val="clear" w:color="auto" w:fill="auto"/>
          <w:lang w:val="en-US" w:eastAsia="en-US" w:bidi="en-US"/>
        </w:rPr>
        <w:t>单位分立、撤销、合并、改制，以及隶属管理关系改变等资产处置有关的批准文件；</w:t>
      </w:r>
    </w:p>
    <w:p w14:paraId="3B13EA3D">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pacing w:val="0"/>
          <w:w w:val="100"/>
          <w:kern w:val="2"/>
          <w:position w:val="0"/>
          <w:sz w:val="21"/>
          <w:szCs w:val="21"/>
          <w:u w:val="none"/>
          <w:shd w:val="clear" w:color="auto" w:fill="auto"/>
          <w:lang w:val="en-US" w:eastAsia="en-US" w:bidi="en-US"/>
        </w:rPr>
      </w:pPr>
      <w:r>
        <w:rPr>
          <w:rFonts w:hint="eastAsia" w:ascii="宋体" w:hAnsi="宋体" w:eastAsia="宋体" w:cs="宋体"/>
          <w:color w:val="auto"/>
          <w:spacing w:val="0"/>
          <w:w w:val="100"/>
          <w:position w:val="0"/>
          <w:sz w:val="21"/>
          <w:szCs w:val="21"/>
          <w:lang w:val="en-US" w:eastAsia="en-US" w:bidi="en-US"/>
        </w:rPr>
        <w:t>d）</w:t>
      </w:r>
      <w:r>
        <w:rPr>
          <w:rFonts w:hint="eastAsia" w:ascii="宋体" w:hAnsi="宋体" w:cs="宋体"/>
          <w:color w:val="auto"/>
          <w:spacing w:val="0"/>
          <w:w w:val="100"/>
          <w:position w:val="0"/>
          <w:sz w:val="21"/>
          <w:szCs w:val="21"/>
          <w:lang w:val="en-US" w:eastAsia="zh-CN" w:bidi="en-US"/>
        </w:rPr>
        <w:t xml:space="preserve"> </w:t>
      </w:r>
      <w:r>
        <w:rPr>
          <w:rFonts w:hint="eastAsia" w:ascii="宋体" w:hAnsi="宋体" w:eastAsia="宋体" w:cs="宋体"/>
          <w:color w:val="auto"/>
          <w:spacing w:val="0"/>
          <w:w w:val="100"/>
          <w:kern w:val="2"/>
          <w:position w:val="0"/>
          <w:sz w:val="21"/>
          <w:szCs w:val="21"/>
          <w:u w:val="none"/>
          <w:shd w:val="clear" w:color="auto" w:fill="auto"/>
          <w:lang w:val="en-US" w:eastAsia="en-US" w:bidi="en-US"/>
        </w:rPr>
        <w:t>资产的权属证明</w:t>
      </w:r>
      <w:r>
        <w:rPr>
          <w:rFonts w:hint="eastAsia" w:ascii="宋体" w:hAnsi="宋体" w:eastAsia="宋体" w:cs="宋体"/>
          <w:color w:val="auto"/>
          <w:spacing w:val="0"/>
          <w:w w:val="100"/>
          <w:kern w:val="2"/>
          <w:position w:val="0"/>
          <w:sz w:val="21"/>
          <w:szCs w:val="21"/>
          <w:u w:val="none"/>
          <w:shd w:val="clear" w:color="auto" w:fill="auto"/>
          <w:lang w:val="en-US" w:eastAsia="zh-CN" w:bidi="en-US"/>
        </w:rPr>
        <w:t>、</w:t>
      </w:r>
      <w:r>
        <w:rPr>
          <w:rFonts w:hint="eastAsia" w:ascii="宋体" w:hAnsi="宋体" w:eastAsia="宋体" w:cs="宋体"/>
          <w:color w:val="auto"/>
          <w:spacing w:val="0"/>
          <w:w w:val="100"/>
          <w:kern w:val="2"/>
          <w:position w:val="0"/>
          <w:sz w:val="21"/>
          <w:szCs w:val="21"/>
          <w:u w:val="none"/>
          <w:shd w:val="clear" w:color="auto" w:fill="auto"/>
          <w:lang w:val="en-US" w:eastAsia="en-US" w:bidi="en-US"/>
        </w:rPr>
        <w:t>价值</w:t>
      </w:r>
      <w:r>
        <w:rPr>
          <w:rFonts w:hint="eastAsia" w:ascii="宋体" w:hAnsi="宋体" w:eastAsia="宋体" w:cs="宋体"/>
          <w:color w:val="auto"/>
          <w:spacing w:val="0"/>
          <w:w w:val="100"/>
          <w:kern w:val="2"/>
          <w:position w:val="0"/>
          <w:sz w:val="21"/>
          <w:szCs w:val="21"/>
          <w:u w:val="none"/>
          <w:shd w:val="clear" w:color="auto" w:fill="auto"/>
          <w:lang w:val="en-US" w:eastAsia="zh-CN" w:bidi="en-US"/>
        </w:rPr>
        <w:t>材料</w:t>
      </w:r>
      <w:r>
        <w:rPr>
          <w:rFonts w:hint="eastAsia" w:ascii="宋体" w:hAnsi="宋体" w:eastAsia="宋体" w:cs="宋体"/>
          <w:color w:val="auto"/>
          <w:spacing w:val="0"/>
          <w:w w:val="100"/>
          <w:kern w:val="2"/>
          <w:position w:val="0"/>
          <w:sz w:val="21"/>
          <w:szCs w:val="21"/>
          <w:u w:val="none"/>
          <w:shd w:val="clear" w:color="auto" w:fill="auto"/>
          <w:lang w:val="en-US" w:eastAsia="en-US" w:bidi="en-US"/>
        </w:rPr>
        <w:t>；</w:t>
      </w:r>
    </w:p>
    <w:p w14:paraId="3A761123">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pacing w:val="0"/>
          <w:w w:val="100"/>
          <w:kern w:val="2"/>
          <w:position w:val="0"/>
          <w:sz w:val="21"/>
          <w:szCs w:val="21"/>
          <w:u w:val="none"/>
          <w:shd w:val="clear" w:color="auto" w:fill="auto"/>
          <w:lang w:val="en-US" w:eastAsia="en-US" w:bidi="en-US"/>
        </w:rPr>
      </w:pPr>
      <w:r>
        <w:rPr>
          <w:rFonts w:hint="eastAsia" w:ascii="宋体" w:hAnsi="宋体" w:eastAsia="宋体" w:cs="宋体"/>
          <w:color w:val="auto"/>
          <w:spacing w:val="0"/>
          <w:w w:val="100"/>
          <w:position w:val="0"/>
          <w:sz w:val="21"/>
          <w:szCs w:val="21"/>
          <w:lang w:val="en-US" w:eastAsia="en-US" w:bidi="en-US"/>
        </w:rPr>
        <w:t>e）</w:t>
      </w:r>
      <w:r>
        <w:rPr>
          <w:rFonts w:hint="eastAsia" w:ascii="宋体" w:hAnsi="宋体" w:cs="宋体"/>
          <w:color w:val="auto"/>
          <w:spacing w:val="0"/>
          <w:w w:val="100"/>
          <w:position w:val="0"/>
          <w:sz w:val="21"/>
          <w:szCs w:val="21"/>
          <w:lang w:val="en-US" w:eastAsia="zh-CN" w:bidi="en-US"/>
        </w:rPr>
        <w:t xml:space="preserve"> </w:t>
      </w:r>
      <w:r>
        <w:rPr>
          <w:rFonts w:hint="eastAsia" w:ascii="宋体" w:hAnsi="宋体" w:eastAsia="宋体" w:cs="宋体"/>
          <w:color w:val="auto"/>
          <w:spacing w:val="0"/>
          <w:w w:val="100"/>
          <w:kern w:val="2"/>
          <w:position w:val="0"/>
          <w:sz w:val="21"/>
          <w:szCs w:val="21"/>
          <w:u w:val="none"/>
          <w:shd w:val="clear" w:color="auto" w:fill="auto"/>
          <w:lang w:val="en-US" w:eastAsia="en-US" w:bidi="en-US"/>
        </w:rPr>
        <w:t>资产处置的公示形式、内容、时间、地点、结果等</w:t>
      </w:r>
      <w:r>
        <w:rPr>
          <w:rFonts w:hint="eastAsia" w:ascii="宋体" w:hAnsi="宋体" w:eastAsia="宋体" w:cs="宋体"/>
          <w:color w:val="auto"/>
          <w:spacing w:val="0"/>
          <w:w w:val="100"/>
          <w:kern w:val="2"/>
          <w:position w:val="0"/>
          <w:sz w:val="21"/>
          <w:szCs w:val="21"/>
          <w:u w:val="none"/>
          <w:shd w:val="clear" w:color="auto" w:fill="auto"/>
          <w:lang w:val="en-US" w:eastAsia="zh-CN" w:bidi="en-US"/>
        </w:rPr>
        <w:t>情况报告</w:t>
      </w:r>
      <w:r>
        <w:rPr>
          <w:rFonts w:hint="eastAsia" w:ascii="宋体" w:hAnsi="宋体" w:eastAsia="宋体" w:cs="宋体"/>
          <w:color w:val="auto"/>
          <w:spacing w:val="0"/>
          <w:w w:val="100"/>
          <w:kern w:val="2"/>
          <w:position w:val="0"/>
          <w:sz w:val="21"/>
          <w:szCs w:val="21"/>
          <w:u w:val="none"/>
          <w:shd w:val="clear" w:color="auto" w:fill="auto"/>
          <w:lang w:val="en-US" w:eastAsia="en-US" w:bidi="en-US"/>
        </w:rPr>
        <w:t>；</w:t>
      </w:r>
    </w:p>
    <w:p w14:paraId="14E088BE">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pacing w:val="0"/>
          <w:w w:val="100"/>
          <w:kern w:val="2"/>
          <w:position w:val="0"/>
          <w:sz w:val="21"/>
          <w:szCs w:val="21"/>
          <w:u w:val="none"/>
          <w:shd w:val="clear" w:color="auto" w:fill="auto"/>
          <w:lang w:val="en-US" w:eastAsia="en-US" w:bidi="en-US"/>
        </w:rPr>
      </w:pPr>
      <w:r>
        <w:rPr>
          <w:rFonts w:hint="eastAsia" w:ascii="宋体" w:hAnsi="宋体" w:eastAsia="宋体" w:cs="宋体"/>
          <w:color w:val="auto"/>
          <w:spacing w:val="0"/>
          <w:w w:val="100"/>
          <w:position w:val="0"/>
          <w:sz w:val="21"/>
          <w:szCs w:val="21"/>
          <w:lang w:val="en-US" w:eastAsia="zh-CN" w:bidi="en-US"/>
        </w:rPr>
        <w:t>f</w:t>
      </w:r>
      <w:r>
        <w:rPr>
          <w:rFonts w:hint="eastAsia" w:ascii="宋体" w:hAnsi="宋体" w:eastAsia="宋体" w:cs="宋体"/>
          <w:color w:val="auto"/>
          <w:spacing w:val="0"/>
          <w:w w:val="100"/>
          <w:position w:val="0"/>
          <w:sz w:val="21"/>
          <w:szCs w:val="21"/>
          <w:lang w:val="en-US" w:eastAsia="en-US" w:bidi="en-US"/>
        </w:rPr>
        <w:t>）</w:t>
      </w:r>
      <w:r>
        <w:rPr>
          <w:rFonts w:hint="eastAsia" w:ascii="宋体" w:hAnsi="宋体" w:cs="宋体"/>
          <w:color w:val="auto"/>
          <w:spacing w:val="0"/>
          <w:w w:val="100"/>
          <w:position w:val="0"/>
          <w:sz w:val="21"/>
          <w:szCs w:val="21"/>
          <w:lang w:val="en-US" w:eastAsia="zh-CN" w:bidi="en-US"/>
        </w:rPr>
        <w:t xml:space="preserve"> </w:t>
      </w:r>
      <w:r>
        <w:rPr>
          <w:rFonts w:hint="eastAsia" w:ascii="宋体" w:hAnsi="宋体" w:eastAsia="宋体" w:cs="宋体"/>
          <w:color w:val="auto"/>
          <w:spacing w:val="0"/>
          <w:w w:val="100"/>
          <w:kern w:val="2"/>
          <w:position w:val="0"/>
          <w:sz w:val="21"/>
          <w:szCs w:val="21"/>
          <w:u w:val="none"/>
          <w:shd w:val="clear" w:color="auto" w:fill="auto"/>
          <w:lang w:val="en-US" w:eastAsia="zh-CN" w:bidi="en-US"/>
        </w:rPr>
        <w:t>单位的内部决策情况说明</w:t>
      </w:r>
      <w:r>
        <w:rPr>
          <w:rFonts w:hint="eastAsia" w:ascii="宋体" w:hAnsi="宋体" w:eastAsia="宋体" w:cs="宋体"/>
          <w:color w:val="auto"/>
          <w:spacing w:val="0"/>
          <w:w w:val="100"/>
          <w:kern w:val="2"/>
          <w:position w:val="0"/>
          <w:sz w:val="21"/>
          <w:szCs w:val="21"/>
          <w:u w:val="none"/>
          <w:shd w:val="clear" w:color="auto" w:fill="auto"/>
          <w:lang w:val="en-US" w:eastAsia="en-US" w:bidi="en-US"/>
        </w:rPr>
        <w:t>；</w:t>
      </w:r>
    </w:p>
    <w:p w14:paraId="616ED56E">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pacing w:val="0"/>
          <w:w w:val="100"/>
          <w:kern w:val="2"/>
          <w:position w:val="0"/>
          <w:sz w:val="21"/>
          <w:szCs w:val="21"/>
          <w:u w:val="none"/>
          <w:shd w:val="clear" w:color="auto" w:fill="auto"/>
          <w:lang w:val="en-US" w:eastAsia="zh-CN" w:bidi="en-US"/>
        </w:rPr>
      </w:pPr>
      <w:r>
        <w:rPr>
          <w:rFonts w:hint="eastAsia" w:ascii="宋体" w:hAnsi="宋体" w:eastAsia="宋体" w:cs="宋体"/>
          <w:color w:val="auto"/>
          <w:spacing w:val="0"/>
          <w:w w:val="100"/>
          <w:position w:val="0"/>
          <w:sz w:val="21"/>
          <w:szCs w:val="21"/>
          <w:lang w:val="en-US" w:eastAsia="zh-CN" w:bidi="en-US"/>
        </w:rPr>
        <w:t>g</w:t>
      </w:r>
      <w:r>
        <w:rPr>
          <w:rFonts w:hint="eastAsia" w:ascii="宋体" w:hAnsi="宋体" w:eastAsia="宋体" w:cs="宋体"/>
          <w:color w:val="auto"/>
          <w:spacing w:val="0"/>
          <w:w w:val="100"/>
          <w:position w:val="0"/>
          <w:sz w:val="21"/>
          <w:szCs w:val="21"/>
          <w:lang w:val="en-US" w:eastAsia="en-US" w:bidi="en-US"/>
        </w:rPr>
        <w:t>）</w:t>
      </w:r>
      <w:r>
        <w:rPr>
          <w:rFonts w:hint="eastAsia" w:ascii="宋体" w:hAnsi="宋体" w:cs="宋体"/>
          <w:color w:val="auto"/>
          <w:spacing w:val="0"/>
          <w:w w:val="100"/>
          <w:position w:val="0"/>
          <w:sz w:val="21"/>
          <w:szCs w:val="21"/>
          <w:lang w:val="en-US" w:eastAsia="zh-CN" w:bidi="en-US"/>
        </w:rPr>
        <w:t xml:space="preserve"> </w:t>
      </w:r>
      <w:r>
        <w:rPr>
          <w:rFonts w:hint="eastAsia" w:ascii="宋体" w:hAnsi="宋体" w:eastAsia="宋体" w:cs="宋体"/>
          <w:color w:val="auto"/>
          <w:spacing w:val="0"/>
          <w:w w:val="100"/>
          <w:kern w:val="2"/>
          <w:position w:val="0"/>
          <w:sz w:val="21"/>
          <w:szCs w:val="21"/>
          <w:u w:val="none"/>
          <w:shd w:val="clear" w:color="auto" w:fill="auto"/>
          <w:lang w:val="en-US" w:eastAsia="en-US" w:bidi="en-US"/>
        </w:rPr>
        <w:t>发生毁损、盘亏、</w:t>
      </w:r>
      <w:r>
        <w:rPr>
          <w:rFonts w:hint="eastAsia" w:ascii="宋体" w:hAnsi="宋体" w:eastAsia="宋体" w:cs="宋体"/>
          <w:color w:val="auto"/>
          <w:spacing w:val="0"/>
          <w:w w:val="100"/>
          <w:kern w:val="2"/>
          <w:position w:val="0"/>
          <w:sz w:val="21"/>
          <w:szCs w:val="21"/>
          <w:u w:val="none"/>
          <w:shd w:val="clear" w:color="auto" w:fill="auto"/>
          <w:lang w:val="en-US" w:eastAsia="zh-CN" w:bidi="en-US"/>
        </w:rPr>
        <w:t>丢失、被盗</w:t>
      </w:r>
      <w:r>
        <w:rPr>
          <w:rFonts w:hint="eastAsia" w:ascii="宋体" w:hAnsi="宋体" w:eastAsia="宋体" w:cs="宋体"/>
          <w:color w:val="auto"/>
          <w:spacing w:val="0"/>
          <w:w w:val="100"/>
          <w:kern w:val="2"/>
          <w:position w:val="0"/>
          <w:sz w:val="21"/>
          <w:szCs w:val="21"/>
          <w:u w:val="none"/>
          <w:shd w:val="clear" w:color="auto" w:fill="auto"/>
          <w:lang w:val="en-US" w:eastAsia="en-US" w:bidi="en-US"/>
        </w:rPr>
        <w:t>等</w:t>
      </w:r>
      <w:r>
        <w:rPr>
          <w:rFonts w:hint="eastAsia" w:ascii="宋体" w:hAnsi="宋体" w:eastAsia="宋体" w:cs="宋体"/>
          <w:color w:val="auto"/>
          <w:spacing w:val="0"/>
          <w:w w:val="100"/>
          <w:kern w:val="2"/>
          <w:position w:val="0"/>
          <w:sz w:val="21"/>
          <w:szCs w:val="21"/>
          <w:u w:val="none"/>
          <w:shd w:val="clear" w:color="auto" w:fill="auto"/>
          <w:lang w:val="en-US" w:eastAsia="zh-CN" w:bidi="en-US"/>
        </w:rPr>
        <w:t>情况，</w:t>
      </w:r>
      <w:r>
        <w:rPr>
          <w:rFonts w:hint="eastAsia" w:ascii="宋体" w:hAnsi="宋体" w:eastAsia="宋体" w:cs="宋体"/>
          <w:color w:val="auto"/>
          <w:spacing w:val="0"/>
          <w:w w:val="100"/>
          <w:kern w:val="2"/>
          <w:position w:val="0"/>
          <w:sz w:val="21"/>
          <w:szCs w:val="21"/>
          <w:u w:val="none"/>
          <w:shd w:val="clear" w:color="auto" w:fill="auto"/>
          <w:lang w:val="en-US" w:eastAsia="en-US" w:bidi="en-US"/>
        </w:rPr>
        <w:t>由主管部门</w:t>
      </w:r>
      <w:r>
        <w:rPr>
          <w:rFonts w:hint="eastAsia" w:ascii="宋体" w:hAnsi="宋体" w:eastAsia="宋体" w:cs="宋体"/>
          <w:color w:val="auto"/>
          <w:spacing w:val="0"/>
          <w:w w:val="100"/>
          <w:kern w:val="2"/>
          <w:position w:val="0"/>
          <w:sz w:val="21"/>
          <w:szCs w:val="21"/>
          <w:u w:val="none"/>
          <w:shd w:val="clear" w:color="auto" w:fill="auto"/>
          <w:lang w:val="en-US" w:eastAsia="zh-CN" w:bidi="en-US"/>
        </w:rPr>
        <w:t>进行</w:t>
      </w:r>
      <w:r>
        <w:rPr>
          <w:rFonts w:hint="eastAsia" w:ascii="宋体" w:hAnsi="宋体" w:eastAsia="宋体" w:cs="宋体"/>
          <w:color w:val="auto"/>
          <w:spacing w:val="0"/>
          <w:w w:val="100"/>
          <w:kern w:val="2"/>
          <w:position w:val="0"/>
          <w:sz w:val="21"/>
          <w:szCs w:val="21"/>
          <w:u w:val="none"/>
          <w:shd w:val="clear" w:color="auto" w:fill="auto"/>
          <w:lang w:val="en-US" w:eastAsia="en-US" w:bidi="en-US"/>
        </w:rPr>
        <w:t>责任认定</w:t>
      </w:r>
      <w:r>
        <w:rPr>
          <w:rFonts w:hint="eastAsia" w:ascii="宋体" w:hAnsi="宋体" w:eastAsia="宋体" w:cs="宋体"/>
          <w:color w:val="auto"/>
          <w:spacing w:val="0"/>
          <w:w w:val="100"/>
          <w:kern w:val="2"/>
          <w:position w:val="0"/>
          <w:sz w:val="21"/>
          <w:szCs w:val="21"/>
          <w:u w:val="none"/>
          <w:shd w:val="clear" w:color="auto" w:fill="auto"/>
          <w:lang w:val="en-US" w:eastAsia="zh-CN" w:bidi="en-US"/>
        </w:rPr>
        <w:t>，</w:t>
      </w:r>
      <w:r>
        <w:rPr>
          <w:rFonts w:hint="eastAsia" w:ascii="宋体" w:hAnsi="宋体" w:eastAsia="宋体" w:cs="宋体"/>
          <w:color w:val="auto"/>
          <w:spacing w:val="0"/>
          <w:w w:val="100"/>
          <w:kern w:val="2"/>
          <w:position w:val="0"/>
          <w:sz w:val="21"/>
          <w:szCs w:val="21"/>
          <w:u w:val="none"/>
          <w:shd w:val="clear" w:color="auto" w:fill="auto"/>
          <w:lang w:val="en-US" w:eastAsia="en-US" w:bidi="en-US"/>
        </w:rPr>
        <w:t>形成结论性</w:t>
      </w:r>
      <w:r>
        <w:rPr>
          <w:rFonts w:hint="eastAsia" w:ascii="宋体" w:hAnsi="宋体" w:eastAsia="宋体" w:cs="宋体"/>
          <w:color w:val="auto"/>
          <w:spacing w:val="0"/>
          <w:w w:val="100"/>
          <w:kern w:val="2"/>
          <w:position w:val="0"/>
          <w:sz w:val="21"/>
          <w:szCs w:val="21"/>
          <w:u w:val="none"/>
          <w:shd w:val="clear" w:color="auto" w:fill="auto"/>
          <w:lang w:val="en-US" w:eastAsia="zh-CN" w:bidi="en-US"/>
        </w:rPr>
        <w:t>意见</w:t>
      </w:r>
      <w:r>
        <w:rPr>
          <w:rFonts w:hint="eastAsia" w:ascii="宋体" w:hAnsi="宋体" w:cs="宋体"/>
          <w:color w:val="auto"/>
          <w:spacing w:val="0"/>
          <w:w w:val="100"/>
          <w:kern w:val="2"/>
          <w:position w:val="0"/>
          <w:sz w:val="21"/>
          <w:szCs w:val="21"/>
          <w:u w:val="none"/>
          <w:shd w:val="clear" w:color="auto" w:fill="auto"/>
          <w:lang w:val="en-US" w:eastAsia="zh-CN" w:bidi="en-US"/>
        </w:rPr>
        <w:t>，</w:t>
      </w:r>
      <w:r>
        <w:rPr>
          <w:rFonts w:hint="eastAsia" w:ascii="宋体" w:hAnsi="宋体" w:eastAsia="宋体" w:cs="宋体"/>
          <w:color w:val="auto"/>
          <w:spacing w:val="0"/>
          <w:w w:val="100"/>
          <w:kern w:val="2"/>
          <w:position w:val="0"/>
          <w:sz w:val="21"/>
          <w:szCs w:val="21"/>
          <w:u w:val="none"/>
          <w:shd w:val="clear" w:color="auto" w:fill="auto"/>
          <w:lang w:val="en-US" w:eastAsia="en-US" w:bidi="en-US"/>
        </w:rPr>
        <w:t>涉及保险索赔的，应有保险理赔情况说明</w:t>
      </w:r>
      <w:r>
        <w:rPr>
          <w:rFonts w:hint="eastAsia" w:ascii="宋体" w:hAnsi="宋体" w:cs="宋体"/>
          <w:color w:val="auto"/>
          <w:spacing w:val="0"/>
          <w:w w:val="100"/>
          <w:kern w:val="2"/>
          <w:position w:val="0"/>
          <w:sz w:val="21"/>
          <w:szCs w:val="21"/>
          <w:u w:val="none"/>
          <w:shd w:val="clear" w:color="auto" w:fill="auto"/>
          <w:lang w:val="en-US" w:eastAsia="zh-CN" w:bidi="en-US"/>
        </w:rPr>
        <w:t>，</w:t>
      </w:r>
      <w:r>
        <w:rPr>
          <w:rFonts w:hint="eastAsia" w:ascii="宋体" w:hAnsi="宋体" w:eastAsia="宋体" w:cs="宋体"/>
          <w:color w:val="auto"/>
          <w:spacing w:val="0"/>
          <w:w w:val="100"/>
          <w:kern w:val="2"/>
          <w:position w:val="0"/>
          <w:sz w:val="21"/>
          <w:szCs w:val="21"/>
          <w:u w:val="none"/>
          <w:shd w:val="clear" w:color="auto" w:fill="auto"/>
          <w:lang w:val="en-US" w:eastAsia="zh-CN" w:bidi="en-US"/>
        </w:rPr>
        <w:t>还应</w:t>
      </w:r>
      <w:r>
        <w:rPr>
          <w:rFonts w:hint="eastAsia" w:ascii="宋体" w:hAnsi="宋体" w:eastAsia="宋体" w:cs="宋体"/>
          <w:color w:val="auto"/>
          <w:spacing w:val="0"/>
          <w:w w:val="100"/>
          <w:kern w:val="2"/>
          <w:position w:val="0"/>
          <w:sz w:val="21"/>
          <w:szCs w:val="21"/>
          <w:u w:val="none"/>
          <w:shd w:val="clear" w:color="auto" w:fill="auto"/>
          <w:lang w:val="en-US" w:eastAsia="en-US" w:bidi="en-US"/>
        </w:rPr>
        <w:t>提供具有法律效力的外部证据、社会中介机构的经济鉴证证明和特定事项的单位内部证据等</w:t>
      </w:r>
      <w:r>
        <w:rPr>
          <w:rFonts w:hint="eastAsia" w:ascii="宋体" w:hAnsi="宋体" w:eastAsia="宋体" w:cs="宋体"/>
          <w:color w:val="auto"/>
          <w:spacing w:val="0"/>
          <w:w w:val="100"/>
          <w:kern w:val="2"/>
          <w:position w:val="0"/>
          <w:sz w:val="21"/>
          <w:szCs w:val="21"/>
          <w:u w:val="none"/>
          <w:shd w:val="clear" w:color="auto" w:fill="auto"/>
          <w:lang w:val="en-US" w:eastAsia="zh-CN" w:bidi="en-US"/>
        </w:rPr>
        <w:t>；</w:t>
      </w:r>
      <w:bookmarkStart w:id="10" w:name="_GoBack"/>
      <w:bookmarkEnd w:id="10"/>
    </w:p>
    <w:p w14:paraId="50A0E0D9">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pacing w:val="0"/>
          <w:w w:val="100"/>
          <w:kern w:val="2"/>
          <w:position w:val="0"/>
          <w:sz w:val="21"/>
          <w:szCs w:val="21"/>
          <w:u w:val="none"/>
          <w:shd w:val="clear" w:color="auto" w:fill="auto"/>
          <w:lang w:val="en-US" w:eastAsia="zh-CN" w:bidi="en-US"/>
        </w:rPr>
      </w:pPr>
      <w:r>
        <w:rPr>
          <w:rFonts w:hint="eastAsia" w:ascii="宋体" w:hAnsi="宋体" w:eastAsia="宋体" w:cs="宋体"/>
          <w:color w:val="auto"/>
          <w:spacing w:val="0"/>
          <w:w w:val="100"/>
          <w:position w:val="0"/>
          <w:sz w:val="21"/>
          <w:szCs w:val="21"/>
          <w:lang w:val="en-US" w:eastAsia="zh-CN" w:bidi="en-US"/>
        </w:rPr>
        <w:t>h</w:t>
      </w:r>
      <w:r>
        <w:rPr>
          <w:rFonts w:hint="eastAsia" w:ascii="宋体" w:hAnsi="宋体" w:eastAsia="宋体" w:cs="宋体"/>
          <w:color w:val="auto"/>
          <w:spacing w:val="0"/>
          <w:w w:val="100"/>
          <w:position w:val="0"/>
          <w:sz w:val="21"/>
          <w:szCs w:val="21"/>
          <w:lang w:val="en-US" w:eastAsia="en-US" w:bidi="en-US"/>
        </w:rPr>
        <w:t>）</w:t>
      </w:r>
      <w:r>
        <w:rPr>
          <w:rFonts w:hint="eastAsia" w:ascii="宋体" w:hAnsi="宋体" w:cs="宋体"/>
          <w:color w:val="auto"/>
          <w:spacing w:val="0"/>
          <w:w w:val="100"/>
          <w:position w:val="0"/>
          <w:sz w:val="21"/>
          <w:szCs w:val="21"/>
          <w:lang w:val="en-US" w:eastAsia="zh-CN" w:bidi="en-US"/>
        </w:rPr>
        <w:t xml:space="preserve"> </w:t>
      </w:r>
      <w:r>
        <w:rPr>
          <w:rFonts w:hint="eastAsia" w:ascii="宋体" w:hAnsi="宋体" w:eastAsia="宋体" w:cs="宋体"/>
          <w:color w:val="auto"/>
          <w:spacing w:val="0"/>
          <w:w w:val="100"/>
          <w:kern w:val="2"/>
          <w:position w:val="0"/>
          <w:sz w:val="21"/>
          <w:szCs w:val="21"/>
          <w:u w:val="none"/>
          <w:shd w:val="clear" w:color="auto" w:fill="auto"/>
          <w:lang w:val="en-US" w:eastAsia="zh-CN" w:bidi="en-US"/>
        </w:rPr>
        <w:t>专业技术部门</w:t>
      </w:r>
      <w:r>
        <w:rPr>
          <w:rFonts w:hint="eastAsia" w:ascii="宋体" w:hAnsi="宋体" w:eastAsia="宋体" w:cs="宋体"/>
          <w:color w:val="auto"/>
          <w:spacing w:val="0"/>
          <w:w w:val="100"/>
          <w:kern w:val="2"/>
          <w:position w:val="0"/>
          <w:sz w:val="21"/>
          <w:szCs w:val="21"/>
          <w:u w:val="none"/>
          <w:shd w:val="clear" w:color="auto" w:fill="auto"/>
          <w:lang w:val="en-US" w:eastAsia="en-US" w:bidi="en-US"/>
        </w:rPr>
        <w:t>提供</w:t>
      </w:r>
      <w:r>
        <w:rPr>
          <w:rFonts w:hint="eastAsia" w:ascii="宋体" w:hAnsi="宋体" w:eastAsia="宋体" w:cs="宋体"/>
          <w:color w:val="auto"/>
          <w:spacing w:val="0"/>
          <w:w w:val="100"/>
          <w:kern w:val="2"/>
          <w:position w:val="0"/>
          <w:sz w:val="21"/>
          <w:szCs w:val="21"/>
          <w:u w:val="none"/>
          <w:shd w:val="clear" w:color="auto" w:fill="auto"/>
          <w:lang w:val="en-US" w:eastAsia="zh-CN" w:bidi="en-US"/>
        </w:rPr>
        <w:t>的资产报废</w:t>
      </w:r>
      <w:r>
        <w:rPr>
          <w:rFonts w:hint="eastAsia" w:ascii="宋体" w:hAnsi="宋体" w:eastAsia="宋体" w:cs="宋体"/>
          <w:color w:val="auto"/>
          <w:spacing w:val="0"/>
          <w:w w:val="100"/>
          <w:kern w:val="2"/>
          <w:position w:val="0"/>
          <w:sz w:val="21"/>
          <w:szCs w:val="21"/>
          <w:u w:val="none"/>
          <w:shd w:val="clear" w:color="auto" w:fill="auto"/>
          <w:lang w:val="en-US" w:eastAsia="en-US" w:bidi="en-US"/>
        </w:rPr>
        <w:t>技术鉴定</w:t>
      </w:r>
      <w:r>
        <w:rPr>
          <w:rFonts w:hint="eastAsia" w:ascii="宋体" w:hAnsi="宋体" w:eastAsia="宋体" w:cs="宋体"/>
          <w:color w:val="auto"/>
          <w:spacing w:val="0"/>
          <w:w w:val="100"/>
          <w:kern w:val="2"/>
          <w:position w:val="0"/>
          <w:sz w:val="21"/>
          <w:szCs w:val="21"/>
          <w:u w:val="none"/>
          <w:shd w:val="clear" w:color="auto" w:fill="auto"/>
          <w:lang w:val="en-US" w:eastAsia="zh-CN" w:bidi="en-US"/>
        </w:rPr>
        <w:t>报告或</w:t>
      </w:r>
      <w:r>
        <w:rPr>
          <w:rFonts w:hint="eastAsia" w:ascii="宋体" w:hAnsi="宋体" w:eastAsia="宋体" w:cs="宋体"/>
          <w:color w:val="auto"/>
          <w:spacing w:val="0"/>
          <w:w w:val="100"/>
          <w:kern w:val="2"/>
          <w:position w:val="0"/>
          <w:sz w:val="21"/>
          <w:szCs w:val="21"/>
          <w:u w:val="none"/>
          <w:shd w:val="clear" w:color="auto" w:fill="auto"/>
          <w:lang w:val="en-US" w:eastAsia="en-US" w:bidi="en-US"/>
        </w:rPr>
        <w:t>主管部门</w:t>
      </w:r>
      <w:r>
        <w:rPr>
          <w:rFonts w:hint="eastAsia" w:ascii="宋体" w:hAnsi="宋体" w:eastAsia="宋体" w:cs="宋体"/>
          <w:color w:val="auto"/>
          <w:spacing w:val="0"/>
          <w:w w:val="100"/>
          <w:kern w:val="2"/>
          <w:position w:val="0"/>
          <w:sz w:val="21"/>
          <w:szCs w:val="21"/>
          <w:u w:val="none"/>
          <w:shd w:val="clear" w:color="auto" w:fill="auto"/>
          <w:lang w:val="en-US" w:eastAsia="zh-CN" w:bidi="en-US"/>
        </w:rPr>
        <w:t>关于资产报废的书面</w:t>
      </w:r>
      <w:r>
        <w:rPr>
          <w:rFonts w:hint="eastAsia" w:ascii="宋体" w:hAnsi="宋体" w:eastAsia="宋体" w:cs="宋体"/>
          <w:color w:val="auto"/>
          <w:spacing w:val="0"/>
          <w:w w:val="100"/>
          <w:kern w:val="2"/>
          <w:position w:val="0"/>
          <w:sz w:val="21"/>
          <w:szCs w:val="21"/>
          <w:u w:val="none"/>
          <w:shd w:val="clear" w:color="auto" w:fill="auto"/>
          <w:lang w:val="en-US" w:eastAsia="en-US" w:bidi="en-US"/>
        </w:rPr>
        <w:t>意见</w:t>
      </w:r>
      <w:r>
        <w:rPr>
          <w:rFonts w:hint="eastAsia" w:ascii="宋体" w:hAnsi="宋体" w:eastAsia="宋体" w:cs="宋体"/>
          <w:color w:val="auto"/>
          <w:spacing w:val="0"/>
          <w:w w:val="100"/>
          <w:kern w:val="2"/>
          <w:position w:val="0"/>
          <w:sz w:val="21"/>
          <w:szCs w:val="21"/>
          <w:u w:val="none"/>
          <w:shd w:val="clear" w:color="auto" w:fill="auto"/>
          <w:lang w:val="en-US" w:eastAsia="zh-CN" w:bidi="en-US"/>
        </w:rPr>
        <w:t>等材料；</w:t>
      </w:r>
    </w:p>
    <w:p w14:paraId="56ACE730">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ascii="宋体" w:hAnsi="宋体" w:eastAsia="宋体" w:cs="宋体"/>
          <w:color w:val="auto"/>
          <w:sz w:val="21"/>
          <w:szCs w:val="21"/>
          <w:lang w:val="en-US" w:eastAsia="en-US"/>
        </w:rPr>
      </w:pPr>
      <w:r>
        <w:rPr>
          <w:rFonts w:hint="eastAsia" w:ascii="宋体" w:hAnsi="宋体" w:eastAsia="宋体" w:cs="宋体"/>
          <w:color w:val="auto"/>
          <w:spacing w:val="0"/>
          <w:w w:val="100"/>
          <w:position w:val="0"/>
          <w:sz w:val="21"/>
          <w:szCs w:val="21"/>
          <w:lang w:val="en-US" w:eastAsia="zh-CN" w:bidi="en-US"/>
        </w:rPr>
        <w:t>i</w:t>
      </w:r>
      <w:r>
        <w:rPr>
          <w:rFonts w:hint="eastAsia" w:ascii="宋体" w:hAnsi="宋体" w:eastAsia="宋体" w:cs="宋体"/>
          <w:color w:val="auto"/>
          <w:spacing w:val="0"/>
          <w:w w:val="100"/>
          <w:position w:val="0"/>
          <w:sz w:val="21"/>
          <w:szCs w:val="21"/>
          <w:lang w:val="en-US" w:eastAsia="en-US" w:bidi="en-US"/>
        </w:rPr>
        <w:t>）</w:t>
      </w:r>
      <w:r>
        <w:rPr>
          <w:rFonts w:hint="eastAsia" w:ascii="宋体" w:hAnsi="宋体" w:cs="宋体"/>
          <w:color w:val="auto"/>
          <w:spacing w:val="0"/>
          <w:w w:val="100"/>
          <w:position w:val="0"/>
          <w:sz w:val="21"/>
          <w:szCs w:val="21"/>
          <w:lang w:val="en-US" w:eastAsia="zh-CN" w:bidi="en-US"/>
        </w:rPr>
        <w:t xml:space="preserve"> </w:t>
      </w:r>
      <w:r>
        <w:rPr>
          <w:rFonts w:hint="eastAsia" w:ascii="宋体" w:hAnsi="宋体" w:eastAsia="宋体" w:cs="宋体"/>
          <w:color w:val="auto"/>
          <w:spacing w:val="0"/>
          <w:w w:val="100"/>
          <w:kern w:val="2"/>
          <w:position w:val="0"/>
          <w:sz w:val="21"/>
          <w:szCs w:val="21"/>
          <w:u w:val="none"/>
          <w:shd w:val="clear" w:color="auto" w:fill="auto"/>
          <w:lang w:val="en-US" w:eastAsia="en-US" w:bidi="en-US"/>
        </w:rPr>
        <w:t>其他相关材料</w:t>
      </w:r>
      <w:r>
        <w:rPr>
          <w:rFonts w:hint="eastAsia" w:ascii="宋体" w:hAnsi="宋体" w:eastAsia="宋体" w:cs="宋体"/>
          <w:color w:val="auto"/>
          <w:spacing w:val="0"/>
          <w:w w:val="100"/>
          <w:kern w:val="2"/>
          <w:position w:val="0"/>
          <w:sz w:val="21"/>
          <w:szCs w:val="21"/>
          <w:u w:val="none"/>
          <w:shd w:val="clear" w:color="auto" w:fill="auto"/>
          <w:lang w:val="en-US" w:eastAsia="zh-CN" w:bidi="en-US"/>
        </w:rPr>
        <w:t>（批准文件、捐赠、转让协议、置换意向书、技术鉴定意见、理赔凭证、保险理赔情况、清查材料、审计报告，货币性资产如法院判决书、破产公告或破产清算清偿文件、清算完毕证明，市场监管部门出具的撤销注销证明，公安部门出具的债务人死亡、宣告失踪、案件受理或结案证明，政府有关部门行政决定文件、单位的催收证明、社会中介机构出具的经济鉴证证明等）</w:t>
      </w:r>
      <w:r>
        <w:rPr>
          <w:rFonts w:hint="eastAsia" w:ascii="宋体" w:hAnsi="宋体" w:eastAsia="宋体" w:cs="宋体"/>
          <w:color w:val="auto"/>
          <w:spacing w:val="0"/>
          <w:w w:val="100"/>
          <w:kern w:val="2"/>
          <w:position w:val="0"/>
          <w:sz w:val="21"/>
          <w:szCs w:val="21"/>
          <w:u w:val="none"/>
          <w:shd w:val="clear" w:color="auto" w:fill="auto"/>
          <w:lang w:val="en-US" w:eastAsia="en-US" w:bidi="en-US"/>
        </w:rPr>
        <w:t>。</w:t>
      </w:r>
    </w:p>
    <w:p w14:paraId="6FAA7882">
      <w:pPr>
        <w:pStyle w:val="140"/>
        <w:keepNext w:val="0"/>
        <w:keepLines w:val="0"/>
        <w:pageBreakBefore w:val="0"/>
        <w:widowControl w:val="0"/>
        <w:shd w:val="clear" w:color="auto" w:fill="auto"/>
        <w:kinsoku/>
        <w:wordWrap/>
        <w:overflowPunct/>
        <w:topLinePunct w:val="0"/>
        <w:autoSpaceDE/>
        <w:autoSpaceDN/>
        <w:bidi w:val="0"/>
        <w:adjustRightInd/>
        <w:snapToGrid w:val="0"/>
        <w:spacing w:before="0" w:after="0" w:line="520" w:lineRule="exact"/>
        <w:ind w:right="0"/>
        <w:jc w:val="left"/>
        <w:textAlignment w:val="auto"/>
        <w:rPr>
          <w:rFonts w:hint="eastAsia" w:ascii="黑体" w:hAnsi="黑体" w:eastAsia="黑体" w:cs="黑体"/>
          <w:color w:val="auto"/>
          <w:spacing w:val="0"/>
          <w:w w:val="100"/>
          <w:position w:val="0"/>
          <w:sz w:val="21"/>
          <w:szCs w:val="21"/>
          <w:lang w:val="en-US" w:eastAsia="zh-CN"/>
        </w:rPr>
      </w:pPr>
      <w:r>
        <w:rPr>
          <w:rFonts w:hint="eastAsia" w:ascii="黑体" w:hAnsi="黑体" w:eastAsia="黑体" w:cs="黑体"/>
          <w:color w:val="auto"/>
          <w:spacing w:val="0"/>
          <w:w w:val="100"/>
          <w:position w:val="0"/>
          <w:sz w:val="21"/>
          <w:szCs w:val="21"/>
          <w:lang w:val="en-US" w:eastAsia="zh-CN"/>
        </w:rPr>
        <w:t>8  收益上缴</w:t>
      </w:r>
    </w:p>
    <w:p w14:paraId="7EE3B5D9">
      <w:pPr>
        <w:pStyle w:val="140"/>
        <w:keepNext w:val="0"/>
        <w:keepLines w:val="0"/>
        <w:pageBreakBefore w:val="0"/>
        <w:widowControl w:val="0"/>
        <w:shd w:val="clear" w:color="auto" w:fill="auto"/>
        <w:kinsoku/>
        <w:wordWrap/>
        <w:overflowPunct/>
        <w:topLinePunct w:val="0"/>
        <w:autoSpaceDE/>
        <w:autoSpaceDN/>
        <w:bidi w:val="0"/>
        <w:adjustRightInd/>
        <w:snapToGrid w:val="0"/>
        <w:spacing w:before="0" w:line="520" w:lineRule="exact"/>
        <w:ind w:right="0" w:firstLine="420" w:firstLineChars="200"/>
        <w:jc w:val="left"/>
        <w:textAlignment w:val="auto"/>
        <w:rPr>
          <w:rFonts w:hint="eastAsia" w:ascii="宋体" w:hAnsi="宋体" w:eastAsia="宋体" w:cs="宋体"/>
          <w:color w:val="auto"/>
          <w:spacing w:val="0"/>
          <w:w w:val="100"/>
          <w:position w:val="0"/>
          <w:sz w:val="21"/>
          <w:szCs w:val="21"/>
          <w:lang w:val="en-US" w:eastAsia="en-US" w:bidi="en-US"/>
        </w:rPr>
      </w:pPr>
      <w:r>
        <w:rPr>
          <w:rFonts w:hint="eastAsia" w:ascii="宋体" w:hAnsi="宋体" w:eastAsia="宋体" w:cs="宋体"/>
          <w:color w:val="auto"/>
          <w:spacing w:val="0"/>
          <w:w w:val="100"/>
          <w:position w:val="0"/>
          <w:sz w:val="21"/>
          <w:szCs w:val="21"/>
          <w:lang w:val="en-US" w:eastAsia="en-US" w:bidi="en-US"/>
        </w:rPr>
        <w:t>国有资产处置收入（出售收入、置换收入、转让收入、报废的残值变价收入、赔偿收入等）属国家所有，在扣除相关税金、评估费、拍卖佣金等费用后，按照政府非税收入管理有关规定及时</w:t>
      </w:r>
      <w:r>
        <w:rPr>
          <w:rFonts w:hint="eastAsia" w:cs="宋体"/>
          <w:color w:val="auto"/>
          <w:spacing w:val="0"/>
          <w:w w:val="100"/>
          <w:position w:val="0"/>
          <w:sz w:val="21"/>
          <w:szCs w:val="21"/>
          <w:lang w:val="en-US" w:eastAsia="zh-CN" w:bidi="en-US"/>
        </w:rPr>
        <w:t>上</w:t>
      </w:r>
      <w:r>
        <w:rPr>
          <w:rFonts w:hint="eastAsia" w:ascii="宋体" w:hAnsi="宋体" w:eastAsia="宋体" w:cs="宋体"/>
          <w:color w:val="auto"/>
          <w:spacing w:val="0"/>
          <w:w w:val="100"/>
          <w:position w:val="0"/>
          <w:sz w:val="21"/>
          <w:szCs w:val="21"/>
          <w:lang w:val="en-US" w:eastAsia="en-US" w:bidi="en-US"/>
        </w:rPr>
        <w:t>缴</w:t>
      </w:r>
      <w:r>
        <w:rPr>
          <w:rFonts w:hint="eastAsia" w:cs="宋体"/>
          <w:color w:val="auto"/>
          <w:spacing w:val="0"/>
          <w:w w:val="100"/>
          <w:position w:val="0"/>
          <w:sz w:val="21"/>
          <w:szCs w:val="21"/>
          <w:lang w:val="en-US" w:eastAsia="zh-CN" w:bidi="en-US"/>
        </w:rPr>
        <w:t>本级财政</w:t>
      </w:r>
      <w:r>
        <w:rPr>
          <w:rFonts w:hint="eastAsia" w:ascii="宋体" w:hAnsi="宋体" w:eastAsia="宋体" w:cs="宋体"/>
          <w:color w:val="auto"/>
          <w:spacing w:val="0"/>
          <w:w w:val="100"/>
          <w:position w:val="0"/>
          <w:sz w:val="21"/>
          <w:szCs w:val="21"/>
          <w:lang w:val="en-US" w:eastAsia="en-US" w:bidi="en-US"/>
        </w:rPr>
        <w:t>。</w:t>
      </w:r>
    </w:p>
    <w:p w14:paraId="387EE2D9">
      <w:pPr>
        <w:pStyle w:val="140"/>
        <w:keepNext w:val="0"/>
        <w:keepLines w:val="0"/>
        <w:pageBreakBefore w:val="0"/>
        <w:widowControl w:val="0"/>
        <w:shd w:val="clear" w:color="auto" w:fill="auto"/>
        <w:kinsoku/>
        <w:wordWrap/>
        <w:overflowPunct/>
        <w:topLinePunct w:val="0"/>
        <w:autoSpaceDE/>
        <w:autoSpaceDN/>
        <w:bidi w:val="0"/>
        <w:adjustRightInd/>
        <w:snapToGrid w:val="0"/>
        <w:spacing w:before="0" w:after="0" w:line="520" w:lineRule="exact"/>
        <w:ind w:right="0"/>
        <w:jc w:val="left"/>
        <w:textAlignment w:val="auto"/>
        <w:rPr>
          <w:rFonts w:hint="eastAsia" w:ascii="黑体" w:hAnsi="黑体" w:eastAsia="黑体" w:cs="黑体"/>
          <w:color w:val="auto"/>
          <w:spacing w:val="0"/>
          <w:w w:val="100"/>
          <w:position w:val="0"/>
          <w:sz w:val="21"/>
          <w:szCs w:val="21"/>
        </w:rPr>
      </w:pPr>
      <w:r>
        <w:rPr>
          <w:rFonts w:hint="eastAsia" w:ascii="黑体" w:hAnsi="黑体" w:eastAsia="黑体" w:cs="黑体"/>
          <w:color w:val="auto"/>
          <w:spacing w:val="0"/>
          <w:w w:val="100"/>
          <w:position w:val="0"/>
          <w:sz w:val="21"/>
          <w:szCs w:val="21"/>
          <w:lang w:val="en-US" w:eastAsia="zh-CN"/>
        </w:rPr>
        <w:t>9</w:t>
      </w:r>
      <w:r>
        <w:rPr>
          <w:rFonts w:hint="eastAsia" w:ascii="黑体" w:hAnsi="黑体" w:eastAsia="黑体" w:cs="黑体"/>
          <w:color w:val="auto"/>
          <w:spacing w:val="0"/>
          <w:w w:val="100"/>
          <w:position w:val="0"/>
          <w:sz w:val="21"/>
          <w:szCs w:val="21"/>
        </w:rPr>
        <w:t xml:space="preserve"> </w:t>
      </w:r>
      <w:r>
        <w:rPr>
          <w:rFonts w:hint="eastAsia" w:ascii="黑体" w:hAnsi="黑体" w:eastAsia="黑体" w:cs="黑体"/>
          <w:color w:val="auto"/>
          <w:spacing w:val="0"/>
          <w:w w:val="100"/>
          <w:position w:val="0"/>
          <w:sz w:val="21"/>
          <w:szCs w:val="21"/>
          <w:lang w:val="en-US" w:eastAsia="zh-CN"/>
        </w:rPr>
        <w:t xml:space="preserve"> </w:t>
      </w:r>
      <w:r>
        <w:rPr>
          <w:rFonts w:hint="eastAsia" w:ascii="黑体" w:hAnsi="黑体" w:eastAsia="黑体" w:cs="黑体"/>
          <w:color w:val="auto"/>
          <w:spacing w:val="0"/>
          <w:w w:val="100"/>
          <w:position w:val="0"/>
          <w:sz w:val="21"/>
          <w:szCs w:val="21"/>
        </w:rPr>
        <w:t>监督检查</w:t>
      </w:r>
    </w:p>
    <w:p w14:paraId="6F4512D5">
      <w:pPr>
        <w:pStyle w:val="140"/>
        <w:keepNext w:val="0"/>
        <w:keepLines w:val="0"/>
        <w:pageBreakBefore w:val="0"/>
        <w:widowControl w:val="0"/>
        <w:shd w:val="clear" w:color="auto" w:fill="auto"/>
        <w:kinsoku/>
        <w:wordWrap/>
        <w:overflowPunct/>
        <w:topLinePunct w:val="0"/>
        <w:autoSpaceDE/>
        <w:autoSpaceDN/>
        <w:bidi w:val="0"/>
        <w:adjustRightInd/>
        <w:snapToGrid w:val="0"/>
        <w:spacing w:before="0" w:after="0" w:line="520" w:lineRule="exact"/>
        <w:ind w:right="0"/>
        <w:jc w:val="left"/>
        <w:textAlignment w:val="auto"/>
        <w:rPr>
          <w:rFonts w:hint="eastAsia" w:ascii="宋体" w:hAnsi="宋体" w:eastAsia="宋体" w:cs="宋体"/>
          <w:color w:val="auto"/>
          <w:spacing w:val="0"/>
          <w:w w:val="100"/>
          <w:position w:val="0"/>
          <w:sz w:val="21"/>
          <w:szCs w:val="21"/>
        </w:rPr>
      </w:pPr>
      <w:r>
        <w:rPr>
          <w:rFonts w:hint="eastAsia" w:ascii="黑体" w:hAnsi="黑体" w:eastAsia="黑体" w:cs="黑体"/>
          <w:color w:val="auto"/>
          <w:spacing w:val="0"/>
          <w:w w:val="100"/>
          <w:position w:val="0"/>
          <w:sz w:val="21"/>
          <w:szCs w:val="21"/>
          <w:lang w:val="en-US" w:eastAsia="zh-CN"/>
        </w:rPr>
        <w:t>9</w:t>
      </w:r>
      <w:r>
        <w:rPr>
          <w:rFonts w:hint="eastAsia" w:ascii="黑体" w:hAnsi="黑体" w:eastAsia="黑体" w:cs="黑体"/>
          <w:color w:val="auto"/>
          <w:spacing w:val="0"/>
          <w:w w:val="100"/>
          <w:position w:val="0"/>
          <w:sz w:val="21"/>
          <w:szCs w:val="21"/>
        </w:rPr>
        <w:t xml:space="preserve">.1 </w:t>
      </w:r>
      <w:r>
        <w:rPr>
          <w:rFonts w:hint="eastAsia" w:ascii="黑体" w:hAnsi="黑体" w:eastAsia="黑体" w:cs="黑体"/>
          <w:color w:val="auto"/>
          <w:spacing w:val="0"/>
          <w:w w:val="100"/>
          <w:position w:val="0"/>
          <w:sz w:val="21"/>
          <w:szCs w:val="21"/>
          <w:lang w:val="en-US" w:eastAsia="zh-CN"/>
        </w:rPr>
        <w:t xml:space="preserve"> </w:t>
      </w:r>
      <w:r>
        <w:rPr>
          <w:rFonts w:hint="eastAsia" w:ascii="宋体" w:hAnsi="宋体" w:eastAsia="宋体" w:cs="宋体"/>
          <w:color w:val="auto"/>
          <w:spacing w:val="0"/>
          <w:w w:val="100"/>
          <w:position w:val="0"/>
          <w:sz w:val="21"/>
          <w:szCs w:val="21"/>
          <w:lang w:val="en-US" w:eastAsia="zh-CN"/>
        </w:rPr>
        <w:t>国有资产管理部门履行</w:t>
      </w:r>
      <w:r>
        <w:rPr>
          <w:rFonts w:hint="eastAsia" w:ascii="宋体" w:hAnsi="宋体" w:eastAsia="宋体" w:cs="宋体"/>
          <w:b w:val="0"/>
          <w:bCs w:val="0"/>
          <w:color w:val="auto"/>
          <w:spacing w:val="0"/>
          <w:w w:val="100"/>
          <w:position w:val="0"/>
          <w:sz w:val="21"/>
          <w:szCs w:val="21"/>
        </w:rPr>
        <w:t>对</w:t>
      </w:r>
      <w:r>
        <w:rPr>
          <w:rFonts w:hint="eastAsia" w:ascii="宋体" w:hAnsi="宋体" w:eastAsia="宋体" w:cs="宋体"/>
          <w:color w:val="auto"/>
          <w:spacing w:val="0"/>
          <w:w w:val="100"/>
          <w:position w:val="0"/>
          <w:sz w:val="21"/>
          <w:szCs w:val="21"/>
        </w:rPr>
        <w:t>国有资产处置</w:t>
      </w:r>
      <w:r>
        <w:rPr>
          <w:rFonts w:hint="eastAsia" w:cs="宋体"/>
          <w:color w:val="auto"/>
          <w:spacing w:val="0"/>
          <w:w w:val="100"/>
          <w:position w:val="0"/>
          <w:sz w:val="21"/>
          <w:szCs w:val="21"/>
          <w:lang w:val="en-US" w:eastAsia="zh-CN"/>
        </w:rPr>
        <w:t>工作</w:t>
      </w:r>
      <w:r>
        <w:rPr>
          <w:rFonts w:hint="eastAsia" w:ascii="宋体" w:hAnsi="宋体" w:eastAsia="宋体" w:cs="宋体"/>
          <w:color w:val="auto"/>
          <w:spacing w:val="0"/>
          <w:w w:val="100"/>
          <w:position w:val="0"/>
          <w:sz w:val="21"/>
          <w:szCs w:val="21"/>
        </w:rPr>
        <w:t>进行指导</w:t>
      </w:r>
      <w:r>
        <w:rPr>
          <w:rFonts w:hint="eastAsia" w:cs="宋体"/>
          <w:color w:val="auto"/>
          <w:spacing w:val="0"/>
          <w:w w:val="100"/>
          <w:position w:val="0"/>
          <w:sz w:val="21"/>
          <w:szCs w:val="21"/>
          <w:lang w:eastAsia="zh-CN"/>
        </w:rPr>
        <w:t>、监督和检查</w:t>
      </w:r>
      <w:r>
        <w:rPr>
          <w:rFonts w:hint="eastAsia" w:cs="宋体"/>
          <w:color w:val="auto"/>
          <w:spacing w:val="0"/>
          <w:w w:val="100"/>
          <w:position w:val="0"/>
          <w:sz w:val="21"/>
          <w:szCs w:val="21"/>
          <w:lang w:val="en-US" w:eastAsia="zh-CN"/>
        </w:rPr>
        <w:t>的职能</w:t>
      </w:r>
      <w:r>
        <w:rPr>
          <w:rFonts w:hint="eastAsia" w:ascii="宋体" w:hAnsi="宋体" w:eastAsia="宋体" w:cs="宋体"/>
          <w:color w:val="auto"/>
          <w:spacing w:val="0"/>
          <w:w w:val="100"/>
          <w:position w:val="0"/>
          <w:sz w:val="21"/>
          <w:szCs w:val="21"/>
        </w:rPr>
        <w:t>。</w:t>
      </w:r>
    </w:p>
    <w:p w14:paraId="2B66DA27">
      <w:pPr>
        <w:pStyle w:val="140"/>
        <w:keepNext w:val="0"/>
        <w:keepLines w:val="0"/>
        <w:pageBreakBefore w:val="0"/>
        <w:widowControl w:val="0"/>
        <w:shd w:val="clear" w:color="auto" w:fill="auto"/>
        <w:kinsoku/>
        <w:wordWrap/>
        <w:overflowPunct/>
        <w:topLinePunct w:val="0"/>
        <w:autoSpaceDE/>
        <w:autoSpaceDN/>
        <w:bidi w:val="0"/>
        <w:adjustRightInd/>
        <w:snapToGrid w:val="0"/>
        <w:spacing w:before="0" w:after="0" w:line="520" w:lineRule="exact"/>
        <w:ind w:right="0"/>
        <w:jc w:val="left"/>
        <w:textAlignment w:val="auto"/>
        <w:rPr>
          <w:rFonts w:hint="eastAsia" w:ascii="宋体" w:hAnsi="宋体" w:eastAsia="宋体" w:cs="宋体"/>
          <w:color w:val="auto"/>
          <w:spacing w:val="0"/>
          <w:w w:val="100"/>
          <w:position w:val="0"/>
          <w:sz w:val="21"/>
          <w:szCs w:val="21"/>
        </w:rPr>
      </w:pPr>
      <w:r>
        <w:rPr>
          <w:rFonts w:hint="eastAsia" w:ascii="黑体" w:hAnsi="黑体" w:eastAsia="黑体" w:cs="黑体"/>
          <w:color w:val="auto"/>
          <w:spacing w:val="0"/>
          <w:w w:val="100"/>
          <w:position w:val="0"/>
          <w:sz w:val="21"/>
          <w:szCs w:val="21"/>
          <w:lang w:val="en-US" w:eastAsia="zh-CN"/>
        </w:rPr>
        <w:t>9</w:t>
      </w:r>
      <w:r>
        <w:rPr>
          <w:rFonts w:hint="eastAsia" w:ascii="黑体" w:hAnsi="黑体" w:eastAsia="黑体" w:cs="黑体"/>
          <w:color w:val="auto"/>
          <w:spacing w:val="0"/>
          <w:w w:val="100"/>
          <w:position w:val="0"/>
          <w:sz w:val="21"/>
          <w:szCs w:val="21"/>
        </w:rPr>
        <w:t>.2</w:t>
      </w:r>
      <w:r>
        <w:rPr>
          <w:rFonts w:hint="eastAsia" w:ascii="宋体" w:hAnsi="宋体" w:eastAsia="宋体" w:cs="宋体"/>
          <w:color w:val="auto"/>
          <w:spacing w:val="0"/>
          <w:w w:val="100"/>
          <w:position w:val="0"/>
          <w:sz w:val="21"/>
          <w:szCs w:val="21"/>
        </w:rPr>
        <w:t xml:space="preserve"> </w:t>
      </w:r>
      <w:r>
        <w:rPr>
          <w:rFonts w:hint="eastAsia" w:cs="宋体"/>
          <w:color w:val="auto"/>
          <w:spacing w:val="0"/>
          <w:w w:val="100"/>
          <w:position w:val="0"/>
          <w:sz w:val="21"/>
          <w:szCs w:val="21"/>
          <w:lang w:val="en-US" w:eastAsia="zh-CN"/>
        </w:rPr>
        <w:t xml:space="preserve"> </w:t>
      </w:r>
      <w:r>
        <w:rPr>
          <w:rFonts w:hint="eastAsia" w:ascii="宋体" w:hAnsi="宋体" w:eastAsia="宋体" w:cs="宋体"/>
          <w:color w:val="auto"/>
          <w:spacing w:val="0"/>
          <w:w w:val="100"/>
          <w:position w:val="0"/>
          <w:sz w:val="21"/>
          <w:szCs w:val="21"/>
        </w:rPr>
        <w:t>单位</w:t>
      </w:r>
      <w:r>
        <w:rPr>
          <w:rFonts w:hint="eastAsia" w:cs="宋体"/>
          <w:color w:val="auto"/>
          <w:spacing w:val="0"/>
          <w:w w:val="100"/>
          <w:position w:val="0"/>
          <w:sz w:val="21"/>
          <w:szCs w:val="21"/>
          <w:lang w:val="en-US" w:eastAsia="zh-CN"/>
        </w:rPr>
        <w:t>严格</w:t>
      </w:r>
      <w:r>
        <w:rPr>
          <w:rFonts w:hint="eastAsia" w:ascii="宋体" w:hAnsi="宋体" w:eastAsia="宋体" w:cs="宋体"/>
          <w:color w:val="auto"/>
          <w:spacing w:val="0"/>
          <w:w w:val="100"/>
          <w:position w:val="0"/>
          <w:sz w:val="21"/>
          <w:szCs w:val="21"/>
        </w:rPr>
        <w:t>执行国有资产处置的有关规定，自觉接受资产</w:t>
      </w:r>
      <w:r>
        <w:rPr>
          <w:rFonts w:hint="eastAsia" w:cs="宋体"/>
          <w:color w:val="auto"/>
          <w:spacing w:val="0"/>
          <w:w w:val="100"/>
          <w:position w:val="0"/>
          <w:sz w:val="21"/>
          <w:szCs w:val="21"/>
          <w:lang w:val="en-US" w:eastAsia="zh-CN"/>
        </w:rPr>
        <w:t>管理</w:t>
      </w:r>
      <w:r>
        <w:rPr>
          <w:rFonts w:hint="eastAsia" w:ascii="宋体" w:hAnsi="宋体" w:eastAsia="宋体" w:cs="宋体"/>
          <w:color w:val="auto"/>
          <w:spacing w:val="0"/>
          <w:w w:val="100"/>
          <w:position w:val="0"/>
          <w:sz w:val="21"/>
          <w:szCs w:val="21"/>
        </w:rPr>
        <w:t>部门的监督检查。</w:t>
      </w:r>
    </w:p>
    <w:p w14:paraId="6A93D7C7">
      <w:pPr>
        <w:pStyle w:val="140"/>
        <w:keepNext w:val="0"/>
        <w:keepLines w:val="0"/>
        <w:pageBreakBefore w:val="0"/>
        <w:widowControl w:val="0"/>
        <w:shd w:val="clear" w:color="auto" w:fill="auto"/>
        <w:kinsoku/>
        <w:wordWrap/>
        <w:overflowPunct/>
        <w:topLinePunct w:val="0"/>
        <w:autoSpaceDE/>
        <w:autoSpaceDN/>
        <w:bidi w:val="0"/>
        <w:adjustRightInd/>
        <w:snapToGrid w:val="0"/>
        <w:spacing w:before="0" w:after="0" w:line="520" w:lineRule="exact"/>
        <w:ind w:right="0"/>
        <w:jc w:val="left"/>
        <w:textAlignment w:val="auto"/>
        <w:rPr>
          <w:rFonts w:hint="default" w:ascii="宋体" w:hAnsi="Times New Roman" w:eastAsia="宋体" w:cs="Times New Roman"/>
          <w:color w:val="auto"/>
          <w:kern w:val="0"/>
          <w:sz w:val="21"/>
          <w:szCs w:val="21"/>
          <w:lang w:val="en-US" w:eastAsia="zh-CN"/>
        </w:rPr>
      </w:pPr>
      <w:r>
        <w:rPr>
          <w:rFonts w:hint="eastAsia" w:ascii="黑体" w:hAnsi="黑体" w:eastAsia="黑体" w:cs="黑体"/>
          <w:color w:val="auto"/>
          <w:spacing w:val="0"/>
          <w:w w:val="100"/>
          <w:position w:val="0"/>
          <w:sz w:val="21"/>
          <w:szCs w:val="21"/>
          <w:lang w:val="en-US" w:eastAsia="zh-CN"/>
        </w:rPr>
        <w:t>9</w:t>
      </w:r>
      <w:r>
        <w:rPr>
          <w:rFonts w:hint="eastAsia" w:ascii="黑体" w:hAnsi="黑体" w:eastAsia="黑体" w:cs="黑体"/>
          <w:color w:val="auto"/>
          <w:spacing w:val="0"/>
          <w:w w:val="100"/>
          <w:position w:val="0"/>
          <w:sz w:val="21"/>
          <w:szCs w:val="21"/>
        </w:rPr>
        <w:t xml:space="preserve">.3 </w:t>
      </w:r>
      <w:r>
        <w:rPr>
          <w:rFonts w:hint="eastAsia" w:cs="宋体"/>
          <w:color w:val="auto"/>
          <w:spacing w:val="0"/>
          <w:w w:val="100"/>
          <w:position w:val="0"/>
          <w:sz w:val="21"/>
          <w:szCs w:val="21"/>
          <w:lang w:val="en-US" w:eastAsia="zh-CN"/>
        </w:rPr>
        <w:t xml:space="preserve"> 违规处置国有资产的</w:t>
      </w:r>
      <w:r>
        <w:rPr>
          <w:rFonts w:hint="eastAsia" w:ascii="宋体" w:hAnsi="宋体" w:eastAsia="宋体" w:cs="宋体"/>
          <w:color w:val="auto"/>
          <w:spacing w:val="0"/>
          <w:w w:val="100"/>
          <w:position w:val="0"/>
          <w:sz w:val="21"/>
          <w:szCs w:val="21"/>
        </w:rPr>
        <w:t>，按有关</w:t>
      </w:r>
      <w:r>
        <w:rPr>
          <w:rFonts w:hint="eastAsia" w:cs="宋体"/>
          <w:color w:val="auto"/>
          <w:spacing w:val="0"/>
          <w:w w:val="100"/>
          <w:position w:val="0"/>
          <w:sz w:val="21"/>
          <w:szCs w:val="21"/>
          <w:lang w:val="en-US" w:eastAsia="zh-CN"/>
        </w:rPr>
        <w:t>法律</w:t>
      </w:r>
      <w:r>
        <w:rPr>
          <w:rFonts w:hint="eastAsia" w:ascii="宋体" w:hAnsi="宋体" w:eastAsia="宋体" w:cs="宋体"/>
          <w:color w:val="auto"/>
          <w:spacing w:val="0"/>
          <w:w w:val="100"/>
          <w:position w:val="0"/>
          <w:sz w:val="21"/>
          <w:szCs w:val="21"/>
        </w:rPr>
        <w:t>规定</w:t>
      </w:r>
      <w:r>
        <w:rPr>
          <w:rFonts w:hint="eastAsia" w:cs="宋体"/>
          <w:color w:val="auto"/>
          <w:spacing w:val="0"/>
          <w:w w:val="100"/>
          <w:position w:val="0"/>
          <w:sz w:val="21"/>
          <w:szCs w:val="21"/>
          <w:lang w:val="en-US" w:eastAsia="zh-CN"/>
        </w:rPr>
        <w:t>处理</w:t>
      </w:r>
      <w:r>
        <w:rPr>
          <w:rFonts w:hint="eastAsia" w:cs="宋体"/>
          <w:color w:val="auto"/>
          <w:spacing w:val="0"/>
          <w:w w:val="100"/>
          <w:position w:val="0"/>
          <w:sz w:val="21"/>
          <w:szCs w:val="21"/>
          <w:lang w:eastAsia="zh-CN"/>
        </w:rPr>
        <w:t>。</w:t>
      </w:r>
    </w:p>
    <w:p w14:paraId="2E9A3277">
      <w:pPr>
        <w:keepNext w:val="0"/>
        <w:keepLines w:val="0"/>
        <w:pageBreakBefore w:val="0"/>
        <w:kinsoku/>
        <w:wordWrap/>
        <w:overflowPunct/>
        <w:topLinePunct w:val="0"/>
        <w:bidi w:val="0"/>
        <w:adjustRightInd/>
        <w:snapToGrid/>
        <w:spacing w:line="360" w:lineRule="auto"/>
        <w:ind w:firstLine="600" w:firstLineChars="200"/>
        <w:textAlignment w:val="auto"/>
        <w:rPr>
          <w:rFonts w:hint="default" w:ascii="宋体" w:hAnsi="Times New Roman" w:eastAsia="宋体" w:cs="Times New Roman"/>
          <w:color w:val="000000"/>
          <w:kern w:val="0"/>
          <w:sz w:val="30"/>
          <w:szCs w:val="30"/>
          <w:lang w:val="en-US" w:eastAsia="zh-CN"/>
        </w:rPr>
      </w:pPr>
    </w:p>
    <w:p w14:paraId="36B0E572">
      <w:pPr>
        <w:pStyle w:val="31"/>
        <w:jc w:val="center"/>
        <w:rPr>
          <w:rFonts w:hint="eastAsia" w:ascii="黑体" w:hAnsi="黑体" w:eastAsia="黑体" w:cs="黑体"/>
          <w:b w:val="0"/>
          <w:bCs/>
          <w:color w:val="000000"/>
          <w:sz w:val="30"/>
          <w:szCs w:val="30"/>
          <w:lang w:val="en-US" w:eastAsia="zh-CN"/>
        </w:rPr>
      </w:pPr>
    </w:p>
    <w:p w14:paraId="3D181136">
      <w:pPr>
        <w:pStyle w:val="31"/>
        <w:jc w:val="center"/>
        <w:rPr>
          <w:rFonts w:hint="eastAsia" w:ascii="黑体" w:hAnsi="黑体" w:eastAsia="黑体" w:cs="黑体"/>
          <w:b w:val="0"/>
          <w:bCs/>
          <w:color w:val="000000"/>
          <w:sz w:val="30"/>
          <w:szCs w:val="30"/>
          <w:lang w:val="en-US" w:eastAsia="zh-CN"/>
        </w:rPr>
      </w:pPr>
    </w:p>
    <w:p w14:paraId="60063570">
      <w:pPr>
        <w:pStyle w:val="31"/>
        <w:jc w:val="center"/>
        <w:rPr>
          <w:rFonts w:hint="eastAsia" w:ascii="黑体" w:hAnsi="黑体" w:eastAsia="黑体" w:cs="黑体"/>
          <w:b w:val="0"/>
          <w:bCs/>
          <w:color w:val="000000"/>
          <w:sz w:val="30"/>
          <w:szCs w:val="30"/>
          <w:lang w:val="en-US" w:eastAsia="zh-CN"/>
        </w:rPr>
      </w:pPr>
    </w:p>
    <w:p w14:paraId="3BBD6F39">
      <w:pPr>
        <w:pStyle w:val="31"/>
        <w:jc w:val="center"/>
        <w:rPr>
          <w:rFonts w:hint="eastAsia" w:ascii="黑体" w:hAnsi="黑体" w:eastAsia="黑体" w:cs="黑体"/>
          <w:b w:val="0"/>
          <w:bCs/>
          <w:color w:val="000000"/>
          <w:sz w:val="30"/>
          <w:szCs w:val="30"/>
          <w:lang w:val="en-US" w:eastAsia="zh-CN"/>
        </w:rPr>
      </w:pPr>
    </w:p>
    <w:p w14:paraId="37A8F074">
      <w:pPr>
        <w:pStyle w:val="31"/>
        <w:jc w:val="center"/>
        <w:rPr>
          <w:rFonts w:hint="eastAsia" w:ascii="黑体" w:hAnsi="黑体" w:eastAsia="黑体" w:cs="黑体"/>
          <w:b w:val="0"/>
          <w:bCs/>
          <w:color w:val="000000"/>
          <w:sz w:val="30"/>
          <w:szCs w:val="30"/>
          <w:lang w:val="en-US" w:eastAsia="zh-CN"/>
        </w:rPr>
      </w:pPr>
    </w:p>
    <w:p w14:paraId="5F9C6EBA">
      <w:pPr>
        <w:pStyle w:val="31"/>
        <w:jc w:val="center"/>
        <w:rPr>
          <w:rFonts w:hint="eastAsia" w:ascii="黑体" w:hAnsi="黑体" w:eastAsia="黑体" w:cs="黑体"/>
          <w:b w:val="0"/>
          <w:bCs/>
          <w:color w:val="000000"/>
          <w:sz w:val="30"/>
          <w:szCs w:val="30"/>
          <w:lang w:val="en-US" w:eastAsia="zh-CN"/>
        </w:rPr>
      </w:pPr>
    </w:p>
    <w:p w14:paraId="189F14C3">
      <w:pPr>
        <w:pStyle w:val="31"/>
        <w:jc w:val="center"/>
        <w:rPr>
          <w:rFonts w:hint="eastAsia" w:ascii="黑体" w:hAnsi="黑体" w:eastAsia="黑体" w:cs="黑体"/>
          <w:b w:val="0"/>
          <w:bCs/>
          <w:color w:val="000000"/>
          <w:sz w:val="30"/>
          <w:szCs w:val="30"/>
          <w:lang w:val="en-US" w:eastAsia="zh-CN"/>
        </w:rPr>
      </w:pPr>
    </w:p>
    <w:p w14:paraId="35DA38AC">
      <w:pPr>
        <w:pStyle w:val="31"/>
        <w:jc w:val="center"/>
        <w:rPr>
          <w:rFonts w:hint="eastAsia" w:ascii="黑体" w:hAnsi="黑体" w:eastAsia="黑体" w:cs="黑体"/>
          <w:b w:val="0"/>
          <w:bCs/>
          <w:color w:val="000000"/>
          <w:sz w:val="30"/>
          <w:szCs w:val="30"/>
          <w:lang w:val="en-US" w:eastAsia="zh-CN"/>
        </w:rPr>
      </w:pPr>
    </w:p>
    <w:p w14:paraId="676C7495">
      <w:pPr>
        <w:pStyle w:val="31"/>
        <w:jc w:val="center"/>
        <w:rPr>
          <w:rFonts w:hint="eastAsia" w:ascii="黑体" w:hAnsi="黑体" w:eastAsia="黑体" w:cs="黑体"/>
          <w:b w:val="0"/>
          <w:bCs/>
          <w:color w:val="000000"/>
          <w:sz w:val="30"/>
          <w:szCs w:val="30"/>
          <w:lang w:val="en-US" w:eastAsia="zh-CN"/>
        </w:rPr>
      </w:pPr>
    </w:p>
    <w:p w14:paraId="38B95252">
      <w:pPr>
        <w:pStyle w:val="31"/>
        <w:jc w:val="center"/>
        <w:rPr>
          <w:rFonts w:hint="eastAsia" w:ascii="黑体" w:hAnsi="黑体" w:eastAsia="黑体" w:cs="黑体"/>
          <w:b w:val="0"/>
          <w:bCs/>
          <w:color w:val="000000"/>
          <w:sz w:val="30"/>
          <w:szCs w:val="30"/>
          <w:lang w:val="en-US" w:eastAsia="zh-CN"/>
        </w:rPr>
      </w:pPr>
    </w:p>
    <w:p w14:paraId="01BF2DAB">
      <w:pPr>
        <w:pStyle w:val="31"/>
        <w:jc w:val="center"/>
        <w:rPr>
          <w:rFonts w:hint="eastAsia" w:ascii="黑体" w:hAnsi="黑体" w:eastAsia="黑体" w:cs="黑体"/>
          <w:b w:val="0"/>
          <w:bCs/>
          <w:color w:val="000000"/>
          <w:sz w:val="21"/>
          <w:szCs w:val="21"/>
          <w:lang w:val="en-US" w:eastAsia="zh-CN"/>
        </w:rPr>
      </w:pPr>
      <w:r>
        <w:rPr>
          <w:rFonts w:hint="eastAsia" w:ascii="黑体" w:hAnsi="黑体" w:eastAsia="黑体" w:cs="黑体"/>
          <w:b w:val="0"/>
          <w:bCs/>
          <w:color w:val="000000"/>
          <w:sz w:val="21"/>
          <w:szCs w:val="21"/>
          <w:lang w:val="en-US" w:eastAsia="zh-CN"/>
        </w:rPr>
        <w:t>参 考 文 献</w:t>
      </w:r>
    </w:p>
    <w:p w14:paraId="1EDFFA57">
      <w:pPr>
        <w:keepNext w:val="0"/>
        <w:keepLines w:val="0"/>
        <w:pageBreakBefore w:val="0"/>
        <w:widowControl w:val="0"/>
        <w:kinsoku/>
        <w:wordWrap/>
        <w:overflowPunct/>
        <w:topLinePunct w:val="0"/>
        <w:autoSpaceDE/>
        <w:autoSpaceDN/>
        <w:bidi w:val="0"/>
        <w:adjustRightInd/>
        <w:snapToGrid/>
        <w:spacing w:line="360" w:lineRule="auto"/>
        <w:ind w:left="210" w:hanging="210" w:hangingChars="1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color w:val="auto"/>
          <w:sz w:val="21"/>
          <w:szCs w:val="21"/>
          <w:lang w:val="en-US" w:eastAsia="zh-CN"/>
        </w:rPr>
        <w:t xml:space="preserve"> </w:t>
      </w:r>
      <w:r>
        <w:rPr>
          <w:rFonts w:hint="eastAsia" w:ascii="宋体" w:hAnsi="宋体" w:eastAsia="宋体" w:cs="宋体"/>
          <w:color w:val="auto"/>
          <w:sz w:val="21"/>
          <w:szCs w:val="21"/>
          <w:lang w:val="en-US" w:eastAsia="zh-CN"/>
        </w:rPr>
        <w:t>《行政事业性国有资产管理条例》（国务院令第738号）</w:t>
      </w:r>
    </w:p>
    <w:p w14:paraId="37ED98F1">
      <w:pPr>
        <w:keepNext w:val="0"/>
        <w:keepLines w:val="0"/>
        <w:pageBreakBefore w:val="0"/>
        <w:widowControl w:val="0"/>
        <w:kinsoku/>
        <w:wordWrap/>
        <w:overflowPunct/>
        <w:topLinePunct w:val="0"/>
        <w:autoSpaceDE/>
        <w:autoSpaceDN/>
        <w:bidi w:val="0"/>
        <w:adjustRightInd/>
        <w:snapToGrid/>
        <w:spacing w:line="360" w:lineRule="auto"/>
        <w:ind w:left="210" w:hanging="210" w:hangingChars="1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 《行政事业单位资产清查核实管理办法》(财资〔2016〕1号)</w:t>
      </w:r>
    </w:p>
    <w:p w14:paraId="3E5E4484">
      <w:pPr>
        <w:keepNext w:val="0"/>
        <w:keepLines w:val="0"/>
        <w:pageBreakBefore w:val="0"/>
        <w:widowControl w:val="0"/>
        <w:kinsoku/>
        <w:wordWrap/>
        <w:overflowPunct/>
        <w:topLinePunct w:val="0"/>
        <w:autoSpaceDE/>
        <w:autoSpaceDN/>
        <w:bidi w:val="0"/>
        <w:adjustRightInd/>
        <w:snapToGrid/>
        <w:spacing w:line="360" w:lineRule="auto"/>
        <w:ind w:left="210" w:hanging="210" w:hangingChars="1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 《中央行政事业单位国有资产处置管理办法》（财资〔2021〕127号）</w:t>
      </w:r>
    </w:p>
    <w:p w14:paraId="3774A743">
      <w:pPr>
        <w:keepNext w:val="0"/>
        <w:keepLines w:val="0"/>
        <w:pageBreakBefore w:val="0"/>
        <w:widowControl w:val="0"/>
        <w:kinsoku/>
        <w:wordWrap/>
        <w:overflowPunct/>
        <w:topLinePunct w:val="0"/>
        <w:autoSpaceDE/>
        <w:autoSpaceDN/>
        <w:bidi w:val="0"/>
        <w:adjustRightInd/>
        <w:snapToGrid/>
        <w:spacing w:line="360" w:lineRule="auto"/>
        <w:ind w:left="210" w:hanging="210" w:hangingChars="1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 《江苏省行政事业性国有资产管理办法》（江苏省人民政府令第162号））</w:t>
      </w:r>
    </w:p>
    <w:p w14:paraId="4974DC42">
      <w:pPr>
        <w:keepNext w:val="0"/>
        <w:keepLines w:val="0"/>
        <w:pageBreakBefore w:val="0"/>
        <w:widowControl w:val="0"/>
        <w:kinsoku/>
        <w:wordWrap/>
        <w:overflowPunct/>
        <w:topLinePunct w:val="0"/>
        <w:autoSpaceDE/>
        <w:autoSpaceDN/>
        <w:bidi w:val="0"/>
        <w:adjustRightInd/>
        <w:snapToGrid/>
        <w:spacing w:line="360" w:lineRule="auto"/>
        <w:ind w:left="210" w:hanging="210" w:hangingChars="100"/>
        <w:textAlignment w:val="auto"/>
      </w:pPr>
      <w:r>
        <w:rPr>
          <w:rFonts w:hint="eastAsia" w:ascii="宋体" w:hAnsi="宋体" w:eastAsia="宋体" w:cs="宋体"/>
          <w:color w:val="auto"/>
          <w:sz w:val="21"/>
          <w:szCs w:val="21"/>
          <w:lang w:val="en-US" w:eastAsia="zh-CN"/>
        </w:rPr>
        <w:t>[5] 《江苏省省级行政事业单位国有资产处置管理办法》（苏财规〔2011〕27号）</w:t>
      </w:r>
      <w:r>
        <w:rPr>
          <w:sz w:val="32"/>
        </w:rPr>
        <mc:AlternateContent>
          <mc:Choice Requires="wps">
            <w:drawing>
              <wp:anchor distT="0" distB="0" distL="114300" distR="114300" simplePos="0" relativeHeight="251664384" behindDoc="0" locked="0" layoutInCell="1" allowOverlap="1">
                <wp:simplePos x="0" y="0"/>
                <wp:positionH relativeFrom="column">
                  <wp:posOffset>2089150</wp:posOffset>
                </wp:positionH>
                <wp:positionV relativeFrom="paragraph">
                  <wp:posOffset>454025</wp:posOffset>
                </wp:positionV>
                <wp:extent cx="1352550" cy="0"/>
                <wp:effectExtent l="0" t="0" r="0" b="0"/>
                <wp:wrapNone/>
                <wp:docPr id="6" name="直接连接符 6"/>
                <wp:cNvGraphicFramePr/>
                <a:graphic xmlns:a="http://schemas.openxmlformats.org/drawingml/2006/main">
                  <a:graphicData uri="http://schemas.microsoft.com/office/word/2010/wordprocessingShape">
                    <wps:wsp>
                      <wps:cNvCnPr/>
                      <wps:spPr>
                        <a:xfrm>
                          <a:off x="2989580" y="819531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64.5pt;margin-top:35.75pt;height:0pt;width:106.5pt;z-index:251664384;mso-width-relative:page;mso-height-relative:page;" filled="f" stroked="t" coordsize="21600,21600" o:gfxdata="UEsDBAoAAAAAAIdO4kAAAAAAAAAAAAAAAAAEAAAAZHJzL1BLAwQUAAAACACHTuJAR2QjIdcAAAAJ&#10;AQAADwAAAGRycy9kb3ducmV2LnhtbE2PvU7DQBCEeyTe4bRINFFytkMCGJ9TAO5oEkC0G99iW/j2&#10;HN/lB56eRRRQ7uxo5ptidXK9OtAYOs8G0lkCirj2tuPGwMtzNb0BFSKyxd4zGfikAKvy/KzA3Poj&#10;r+mwiY2SEA45GmhjHHKtQ92SwzDzA7H83v3oMMo5NtqOeJRw1+ssSZbaYcfS0OJA9y3VH5u9MxCq&#10;V9pVX5N6krzNG0/Z7uHpEY25vEiTO1CRTvHPDD/4gg6lMG39nm1QvYF5ditbooHrdAFKDIurTITt&#10;r6DLQv9fUH4DUEsDBBQAAAAIAIdO4kAjDT1D/QEAAN8DAAAOAAAAZHJzL2Uyb0RvYy54bWytUzuO&#10;2zAQ7QPkDgT7WJIXMizB8hZrbJp8DCQ5AE1REgH+wOFa9iVygQDpkipl+twmm2NkSGl3k02zRVSQ&#10;w/k8znscbS5PWpGj8CCtaWixyCkRhttWmr6hH95fv1hTAoGZlilrREPPAujl9vmzzehqsbSDVa3w&#10;BEEM1KNr6BCCq7MM+CA0g4V1wmCws16zgEffZ61nI6JrlS3zfJWN1rfOWy4A0LubgnRG9E8BtF0n&#10;udhZfqOFCROqF4oFpASDdEC3qduuEzy87ToQgaiGItOQVrwE7UNcs+2G1b1nbpB8boE9pYVHnDST&#10;Bi+9h9qxwMiNl/9Aacm9BduFBbc6m4gkRZBFkT/S5t3AnEhcUGpw96LD/4Plb457T2Tb0BUlhml8&#10;8NtP339+/PLrx2dcb799Jaso0uigxtwrs/fzCdzeR8anzuu4IxdyauiyWlflGuU9N3RdVOVFMYss&#10;ToFwTCguymVZYgLHjBTLHkCch/BSWE2i0VAlTeTPanZ8BQEvxtS7lOg29loqld5QGTI2tEJsRGY4&#10;lx3OA5raITcwPSVM9TjwPPiECFbJNlZHHPD94Up5cmRxTNI3JQ2sFZO3KtE9jQuw8Nq2k7vI7/zY&#10;2gyT2vwLP/a8YzBMNSkUobBEGdyiuJOc0TrY9pxUTn5895Q4z2gcrD/Pqfrhv9z+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EdkIyHXAAAACQEAAA8AAAAAAAAAAQAgAAAAIgAAAGRycy9kb3ducmV2&#10;LnhtbFBLAQIUABQAAAAIAIdO4kAjDT1D/QEAAN8DAAAOAAAAAAAAAAEAIAAAACYBAABkcnMvZTJv&#10;RG9jLnhtbFBLBQYAAAAABgAGAFkBAACVBQAAAAA=&#10;">
                <v:fill on="f" focussize="0,0"/>
                <v:stroke color="#000000 [3200]" joinstyle="round"/>
                <v:imagedata o:title=""/>
                <o:lock v:ext="edit" aspectratio="f"/>
              </v:line>
            </w:pict>
          </mc:Fallback>
        </mc:AlternateContent>
      </w:r>
    </w:p>
    <w:p w14:paraId="14D95447">
      <w:pPr>
        <w:pStyle w:val="23"/>
        <w:spacing w:line="480" w:lineRule="exact"/>
        <w:ind w:firstLine="0" w:firstLineChars="0"/>
        <w:rPr>
          <w:rFonts w:hAnsi="宋体" w:cs="宋体"/>
          <w:szCs w:val="21"/>
        </w:rPr>
      </w:pPr>
    </w:p>
    <w:p w14:paraId="08C23998">
      <w:pPr>
        <w:pStyle w:val="120"/>
        <w:framePr w:wrap="around"/>
      </w:pPr>
    </w:p>
    <w:sectPr>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3C4FC">
    <w:pPr>
      <w:pStyle w:val="41"/>
    </w:pPr>
    <w:r>
      <w:fldChar w:fldCharType="begin"/>
    </w:r>
    <w:r>
      <w:instrText xml:space="preserve"> PAGE  \* MERGEFORMAT </w:instrText>
    </w:r>
    <w:r>
      <w:fldChar w:fldCharType="separate"/>
    </w:r>
    <w: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48767">
    <w:pPr>
      <w:pStyle w:val="77"/>
    </w:pPr>
    <w:r>
      <w:rPr>
        <w:rFonts w:hint="eastAsia"/>
      </w:rPr>
      <w:t>DB32</w:t>
    </w:r>
    <w:r>
      <w:t>/T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676E16"/>
    <w:multiLevelType w:val="singleLevel"/>
    <w:tmpl w:val="D8676E16"/>
    <w:lvl w:ilvl="0" w:tentative="0">
      <w:start w:val="1"/>
      <w:numFmt w:val="lowerLetter"/>
      <w:suff w:val="space"/>
      <w:lvlText w:val="%1）"/>
      <w:lvlJc w:val="left"/>
    </w:lvl>
  </w:abstractNum>
  <w:abstractNum w:abstractNumId="1">
    <w:nsid w:val="079102AD"/>
    <w:multiLevelType w:val="multilevel"/>
    <w:tmpl w:val="079102AD"/>
    <w:lvl w:ilvl="0" w:tentative="0">
      <w:start w:val="1"/>
      <w:numFmt w:val="decimal"/>
      <w:pStyle w:val="4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111"/>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79"/>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tentative="0">
      <w:start w:val="1"/>
      <w:numFmt w:val="lowerLetter"/>
      <w:pStyle w:val="10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6CA3408"/>
    <w:multiLevelType w:val="singleLevel"/>
    <w:tmpl w:val="16CA3408"/>
    <w:lvl w:ilvl="0" w:tentative="0">
      <w:start w:val="1"/>
      <w:numFmt w:val="lowerLetter"/>
      <w:suff w:val="nothing"/>
      <w:lvlText w:val="%1）"/>
      <w:lvlJc w:val="left"/>
      <w:rPr>
        <w:rFonts w:hint="default" w:ascii="宋体" w:hAnsi="宋体" w:eastAsia="宋体" w:cs="宋体"/>
        <w:sz w:val="21"/>
        <w:szCs w:val="21"/>
      </w:rPr>
    </w:lvl>
  </w:abstractNum>
  <w:abstractNum w:abstractNumId="6">
    <w:nsid w:val="1DBF583A"/>
    <w:multiLevelType w:val="multilevel"/>
    <w:tmpl w:val="1DBF583A"/>
    <w:lvl w:ilvl="0" w:tentative="0">
      <w:start w:val="1"/>
      <w:numFmt w:val="decimal"/>
      <w:pStyle w:val="9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6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49"/>
      <w:suff w:val="nothing"/>
      <w:lvlText w:val="%1.%2.%3.%4.%5　"/>
      <w:lvlJc w:val="left"/>
      <w:pPr>
        <w:ind w:left="0" w:firstLine="0"/>
      </w:pPr>
      <w:rPr>
        <w:rFonts w:hint="eastAsia" w:ascii="黑体" w:hAnsi="Times New Roman" w:eastAsia="黑体"/>
        <w:b w:val="0"/>
        <w:i w:val="0"/>
        <w:sz w:val="21"/>
      </w:rPr>
    </w:lvl>
    <w:lvl w:ilvl="5" w:tentative="0">
      <w:start w:val="1"/>
      <w:numFmt w:val="decimal"/>
      <w:pStyle w:val="4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A8F7113"/>
    <w:multiLevelType w:val="multilevel"/>
    <w:tmpl w:val="2A8F7113"/>
    <w:lvl w:ilvl="0" w:tentative="0">
      <w:start w:val="1"/>
      <w:numFmt w:val="upperLetter"/>
      <w:pStyle w:val="125"/>
      <w:suff w:val="space"/>
      <w:lvlText w:val="%1"/>
      <w:lvlJc w:val="left"/>
      <w:pPr>
        <w:ind w:left="623" w:hanging="425"/>
      </w:pPr>
      <w:rPr>
        <w:rFonts w:hint="eastAsia"/>
      </w:rPr>
    </w:lvl>
    <w:lvl w:ilvl="1" w:tentative="0">
      <w:start w:val="1"/>
      <w:numFmt w:val="decimal"/>
      <w:pStyle w:val="9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53"/>
      <w:suff w:val="nothing"/>
      <w:lvlText w:val="%1——"/>
      <w:lvlJc w:val="left"/>
      <w:pPr>
        <w:ind w:left="833" w:hanging="408"/>
      </w:pPr>
      <w:rPr>
        <w:rFonts w:hint="eastAsia"/>
      </w:rPr>
    </w:lvl>
    <w:lvl w:ilvl="1" w:tentative="0">
      <w:start w:val="1"/>
      <w:numFmt w:val="bullet"/>
      <w:pStyle w:val="99"/>
      <w:lvlText w:val=""/>
      <w:lvlJc w:val="left"/>
      <w:pPr>
        <w:tabs>
          <w:tab w:val="left" w:pos="760"/>
        </w:tabs>
        <w:ind w:left="1264" w:hanging="413"/>
      </w:pPr>
      <w:rPr>
        <w:rFonts w:hint="default" w:ascii="Symbol" w:hAnsi="Symbol"/>
        <w:color w:val="auto"/>
      </w:rPr>
    </w:lvl>
    <w:lvl w:ilvl="2" w:tentative="0">
      <w:start w:val="1"/>
      <w:numFmt w:val="bullet"/>
      <w:pStyle w:val="5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B733A5F"/>
    <w:multiLevelType w:val="multilevel"/>
    <w:tmpl w:val="4B733A5F"/>
    <w:lvl w:ilvl="0" w:tentative="0">
      <w:start w:val="1"/>
      <w:numFmt w:val="decimal"/>
      <w:pStyle w:val="6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0">
      <w:start w:val="1"/>
      <w:numFmt w:val="decimal"/>
      <w:pStyle w:val="8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tentative="0">
      <w:start w:val="1"/>
      <w:numFmt w:val="upperLetter"/>
      <w:pStyle w:val="124"/>
      <w:lvlText w:val="%1"/>
      <w:lvlJc w:val="left"/>
      <w:pPr>
        <w:tabs>
          <w:tab w:val="left" w:pos="0"/>
        </w:tabs>
        <w:ind w:left="0" w:hanging="425"/>
      </w:pPr>
      <w:rPr>
        <w:rFonts w:hint="eastAsia"/>
      </w:rPr>
    </w:lvl>
    <w:lvl w:ilvl="1" w:tentative="0">
      <w:start w:val="1"/>
      <w:numFmt w:val="decimal"/>
      <w:pStyle w:val="12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8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12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8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5"/>
      <w:suff w:val="nothing"/>
      <w:lvlText w:val="%1.%2.%3　"/>
      <w:lvlJc w:val="left"/>
      <w:pPr>
        <w:ind w:left="0" w:firstLine="0"/>
      </w:pPr>
      <w:rPr>
        <w:rFonts w:hint="eastAsia" w:ascii="黑体" w:hAnsi="Times New Roman" w:eastAsia="黑体"/>
        <w:b w:val="0"/>
        <w:i w:val="0"/>
        <w:sz w:val="21"/>
      </w:rPr>
    </w:lvl>
    <w:lvl w:ilvl="3" w:tentative="0">
      <w:start w:val="1"/>
      <w:numFmt w:val="decimal"/>
      <w:pStyle w:val="72"/>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pStyle w:val="9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70"/>
      <w:lvlText w:val="%1)"/>
      <w:lvlJc w:val="left"/>
      <w:pPr>
        <w:tabs>
          <w:tab w:val="left" w:pos="839"/>
        </w:tabs>
        <w:ind w:left="839" w:hanging="419"/>
      </w:pPr>
      <w:rPr>
        <w:rFonts w:hint="eastAsia" w:ascii="宋体" w:eastAsia="宋体"/>
        <w:b w:val="0"/>
        <w:i w:val="0"/>
        <w:sz w:val="21"/>
      </w:rPr>
    </w:lvl>
    <w:lvl w:ilvl="1" w:tentative="0">
      <w:start w:val="1"/>
      <w:numFmt w:val="decimal"/>
      <w:pStyle w:val="7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7EB127F2"/>
    <w:multiLevelType w:val="multilevel"/>
    <w:tmpl w:val="7EB127F2"/>
    <w:lvl w:ilvl="0" w:tentative="0">
      <w:start w:val="1"/>
      <w:numFmt w:val="lowerLetter"/>
      <w:pStyle w:val="12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71"/>
      <w:lvlText w:val="%2)"/>
      <w:lvlJc w:val="left"/>
      <w:pPr>
        <w:tabs>
          <w:tab w:val="left" w:pos="1260"/>
        </w:tabs>
        <w:ind w:left="1259" w:hanging="419"/>
      </w:pPr>
      <w:rPr>
        <w:rFonts w:hint="eastAsia"/>
      </w:rPr>
    </w:lvl>
    <w:lvl w:ilvl="2" w:tentative="0">
      <w:start w:val="1"/>
      <w:numFmt w:val="decimal"/>
      <w:pStyle w:val="4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0"/>
  </w:num>
  <w:num w:numId="2">
    <w:abstractNumId w:val="1"/>
  </w:num>
  <w:num w:numId="3">
    <w:abstractNumId w:val="17"/>
  </w:num>
  <w:num w:numId="4">
    <w:abstractNumId w:val="7"/>
  </w:num>
  <w:num w:numId="5">
    <w:abstractNumId w:val="9"/>
  </w:num>
  <w:num w:numId="6">
    <w:abstractNumId w:val="11"/>
  </w:num>
  <w:num w:numId="7">
    <w:abstractNumId w:val="16"/>
  </w:num>
  <w:num w:numId="8">
    <w:abstractNumId w:val="15"/>
  </w:num>
  <w:num w:numId="9">
    <w:abstractNumId w:val="3"/>
  </w:num>
  <w:num w:numId="10">
    <w:abstractNumId w:val="14"/>
  </w:num>
  <w:num w:numId="11">
    <w:abstractNumId w:val="12"/>
  </w:num>
  <w:num w:numId="12">
    <w:abstractNumId w:val="6"/>
  </w:num>
  <w:num w:numId="13">
    <w:abstractNumId w:val="8"/>
  </w:num>
  <w:num w:numId="14">
    <w:abstractNumId w:val="4"/>
  </w:num>
  <w:num w:numId="15">
    <w:abstractNumId w:val="2"/>
  </w:num>
  <w:num w:numId="16">
    <w:abstractNumId w:val="13"/>
  </w:num>
  <w:num w:numId="17">
    <w:abstractNumId w:val="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zMDA3MGM4ZGJmOWNkZGQ3OWNkMmI5NGJmZGQ5M2IifQ=="/>
  </w:docVars>
  <w:rsids>
    <w:rsidRoot w:val="7CFE148C"/>
    <w:rsid w:val="00000244"/>
    <w:rsid w:val="0000185F"/>
    <w:rsid w:val="0000586F"/>
    <w:rsid w:val="00005DEC"/>
    <w:rsid w:val="00006072"/>
    <w:rsid w:val="00013CDD"/>
    <w:rsid w:val="00013D86"/>
    <w:rsid w:val="00013E02"/>
    <w:rsid w:val="0002143C"/>
    <w:rsid w:val="00025A65"/>
    <w:rsid w:val="00026C31"/>
    <w:rsid w:val="00027280"/>
    <w:rsid w:val="000320A7"/>
    <w:rsid w:val="00034213"/>
    <w:rsid w:val="00035925"/>
    <w:rsid w:val="00067CDF"/>
    <w:rsid w:val="00072CF2"/>
    <w:rsid w:val="00074FBE"/>
    <w:rsid w:val="00080FCB"/>
    <w:rsid w:val="00083A09"/>
    <w:rsid w:val="0009005E"/>
    <w:rsid w:val="00091575"/>
    <w:rsid w:val="00092857"/>
    <w:rsid w:val="00093638"/>
    <w:rsid w:val="000A20A9"/>
    <w:rsid w:val="000A48B1"/>
    <w:rsid w:val="000B3143"/>
    <w:rsid w:val="000C6B05"/>
    <w:rsid w:val="000C6DD6"/>
    <w:rsid w:val="000C73D4"/>
    <w:rsid w:val="000D0329"/>
    <w:rsid w:val="000D3D4C"/>
    <w:rsid w:val="000D3D81"/>
    <w:rsid w:val="000D4F51"/>
    <w:rsid w:val="000D718B"/>
    <w:rsid w:val="000E0C46"/>
    <w:rsid w:val="000E0E71"/>
    <w:rsid w:val="000E7E41"/>
    <w:rsid w:val="000F030C"/>
    <w:rsid w:val="000F129C"/>
    <w:rsid w:val="001056DE"/>
    <w:rsid w:val="00111276"/>
    <w:rsid w:val="0011180B"/>
    <w:rsid w:val="001124C0"/>
    <w:rsid w:val="0011600F"/>
    <w:rsid w:val="0013175F"/>
    <w:rsid w:val="0013295E"/>
    <w:rsid w:val="001512B4"/>
    <w:rsid w:val="00152994"/>
    <w:rsid w:val="001620A5"/>
    <w:rsid w:val="00164E53"/>
    <w:rsid w:val="00165EA2"/>
    <w:rsid w:val="0016699D"/>
    <w:rsid w:val="00174C56"/>
    <w:rsid w:val="00175159"/>
    <w:rsid w:val="00176208"/>
    <w:rsid w:val="0018211B"/>
    <w:rsid w:val="00182FB8"/>
    <w:rsid w:val="001840D3"/>
    <w:rsid w:val="001900F8"/>
    <w:rsid w:val="00191258"/>
    <w:rsid w:val="00192680"/>
    <w:rsid w:val="00193037"/>
    <w:rsid w:val="00193A2C"/>
    <w:rsid w:val="001A288E"/>
    <w:rsid w:val="001B1F64"/>
    <w:rsid w:val="001B3621"/>
    <w:rsid w:val="001B6278"/>
    <w:rsid w:val="001B6DC2"/>
    <w:rsid w:val="001C149C"/>
    <w:rsid w:val="001C1F4E"/>
    <w:rsid w:val="001C21AC"/>
    <w:rsid w:val="001C47BA"/>
    <w:rsid w:val="001C59D6"/>
    <w:rsid w:val="001C59EA"/>
    <w:rsid w:val="001C6193"/>
    <w:rsid w:val="001D406C"/>
    <w:rsid w:val="001D41EE"/>
    <w:rsid w:val="001E0380"/>
    <w:rsid w:val="001E13B1"/>
    <w:rsid w:val="001E1B20"/>
    <w:rsid w:val="001E423A"/>
    <w:rsid w:val="001F2CEE"/>
    <w:rsid w:val="001F3A19"/>
    <w:rsid w:val="001F6363"/>
    <w:rsid w:val="00205DB9"/>
    <w:rsid w:val="00234467"/>
    <w:rsid w:val="00235A86"/>
    <w:rsid w:val="00235D66"/>
    <w:rsid w:val="00237D8D"/>
    <w:rsid w:val="00241DA2"/>
    <w:rsid w:val="00247FEE"/>
    <w:rsid w:val="00250E7D"/>
    <w:rsid w:val="002565D5"/>
    <w:rsid w:val="002622C0"/>
    <w:rsid w:val="00262F06"/>
    <w:rsid w:val="00274694"/>
    <w:rsid w:val="00275C6D"/>
    <w:rsid w:val="002778AE"/>
    <w:rsid w:val="0028269A"/>
    <w:rsid w:val="00283590"/>
    <w:rsid w:val="00286973"/>
    <w:rsid w:val="00294E70"/>
    <w:rsid w:val="002A1924"/>
    <w:rsid w:val="002A7420"/>
    <w:rsid w:val="002B0F12"/>
    <w:rsid w:val="002B1308"/>
    <w:rsid w:val="002B339C"/>
    <w:rsid w:val="002B4554"/>
    <w:rsid w:val="002B62B9"/>
    <w:rsid w:val="002B63C2"/>
    <w:rsid w:val="002B6FA6"/>
    <w:rsid w:val="002C3A46"/>
    <w:rsid w:val="002C72D8"/>
    <w:rsid w:val="002D11FA"/>
    <w:rsid w:val="002E0DDF"/>
    <w:rsid w:val="002E2906"/>
    <w:rsid w:val="002E2D95"/>
    <w:rsid w:val="002E5635"/>
    <w:rsid w:val="002E64C3"/>
    <w:rsid w:val="002E6A2C"/>
    <w:rsid w:val="002F1D8C"/>
    <w:rsid w:val="002F21DA"/>
    <w:rsid w:val="00301F39"/>
    <w:rsid w:val="0032398B"/>
    <w:rsid w:val="00325926"/>
    <w:rsid w:val="00327A8A"/>
    <w:rsid w:val="0033117B"/>
    <w:rsid w:val="003323F3"/>
    <w:rsid w:val="0033601C"/>
    <w:rsid w:val="00336610"/>
    <w:rsid w:val="00343F73"/>
    <w:rsid w:val="00345060"/>
    <w:rsid w:val="003500CC"/>
    <w:rsid w:val="0035323B"/>
    <w:rsid w:val="003609D2"/>
    <w:rsid w:val="0036148D"/>
    <w:rsid w:val="00363F22"/>
    <w:rsid w:val="00367971"/>
    <w:rsid w:val="00373D63"/>
    <w:rsid w:val="00375564"/>
    <w:rsid w:val="00383191"/>
    <w:rsid w:val="00384A3F"/>
    <w:rsid w:val="00386DED"/>
    <w:rsid w:val="003873B5"/>
    <w:rsid w:val="003912E7"/>
    <w:rsid w:val="00393947"/>
    <w:rsid w:val="00395E09"/>
    <w:rsid w:val="00397F2D"/>
    <w:rsid w:val="003A2275"/>
    <w:rsid w:val="003A6754"/>
    <w:rsid w:val="003A6A4F"/>
    <w:rsid w:val="003A7088"/>
    <w:rsid w:val="003B00DF"/>
    <w:rsid w:val="003B1275"/>
    <w:rsid w:val="003B1778"/>
    <w:rsid w:val="003C11CB"/>
    <w:rsid w:val="003C15CB"/>
    <w:rsid w:val="003C75F3"/>
    <w:rsid w:val="003C77AD"/>
    <w:rsid w:val="003C78A3"/>
    <w:rsid w:val="003D6AAD"/>
    <w:rsid w:val="003E1867"/>
    <w:rsid w:val="003E5729"/>
    <w:rsid w:val="003F0142"/>
    <w:rsid w:val="003F138B"/>
    <w:rsid w:val="003F1B3B"/>
    <w:rsid w:val="003F4EE0"/>
    <w:rsid w:val="00400D9C"/>
    <w:rsid w:val="00402153"/>
    <w:rsid w:val="00402BB9"/>
    <w:rsid w:val="00402FC1"/>
    <w:rsid w:val="00425082"/>
    <w:rsid w:val="00431DEB"/>
    <w:rsid w:val="00435585"/>
    <w:rsid w:val="00442BD2"/>
    <w:rsid w:val="00446B29"/>
    <w:rsid w:val="00453F9A"/>
    <w:rsid w:val="00471441"/>
    <w:rsid w:val="00471E91"/>
    <w:rsid w:val="00474675"/>
    <w:rsid w:val="0047470C"/>
    <w:rsid w:val="00475B3C"/>
    <w:rsid w:val="004817B6"/>
    <w:rsid w:val="00485B2F"/>
    <w:rsid w:val="004876FB"/>
    <w:rsid w:val="004A293E"/>
    <w:rsid w:val="004A35F9"/>
    <w:rsid w:val="004A4A3E"/>
    <w:rsid w:val="004B24C1"/>
    <w:rsid w:val="004B73EC"/>
    <w:rsid w:val="004C185B"/>
    <w:rsid w:val="004C292F"/>
    <w:rsid w:val="004D2CF4"/>
    <w:rsid w:val="004E4326"/>
    <w:rsid w:val="00510280"/>
    <w:rsid w:val="00513D73"/>
    <w:rsid w:val="00514A43"/>
    <w:rsid w:val="00514EB5"/>
    <w:rsid w:val="005174E5"/>
    <w:rsid w:val="00522393"/>
    <w:rsid w:val="00522620"/>
    <w:rsid w:val="00525656"/>
    <w:rsid w:val="00534C02"/>
    <w:rsid w:val="0054264B"/>
    <w:rsid w:val="00543786"/>
    <w:rsid w:val="00545AE8"/>
    <w:rsid w:val="005533D7"/>
    <w:rsid w:val="0056282A"/>
    <w:rsid w:val="00567BA0"/>
    <w:rsid w:val="005703DE"/>
    <w:rsid w:val="0058464E"/>
    <w:rsid w:val="005A01CB"/>
    <w:rsid w:val="005A20EE"/>
    <w:rsid w:val="005A58FF"/>
    <w:rsid w:val="005A5EAF"/>
    <w:rsid w:val="005A64C0"/>
    <w:rsid w:val="005B3C11"/>
    <w:rsid w:val="005B4BA2"/>
    <w:rsid w:val="005C1C28"/>
    <w:rsid w:val="005C6DB5"/>
    <w:rsid w:val="005E19E7"/>
    <w:rsid w:val="005F161B"/>
    <w:rsid w:val="005F2869"/>
    <w:rsid w:val="00604E3D"/>
    <w:rsid w:val="0061716C"/>
    <w:rsid w:val="006243A1"/>
    <w:rsid w:val="00625D00"/>
    <w:rsid w:val="00630961"/>
    <w:rsid w:val="00632E56"/>
    <w:rsid w:val="00635CBA"/>
    <w:rsid w:val="0064338B"/>
    <w:rsid w:val="00646542"/>
    <w:rsid w:val="006504F4"/>
    <w:rsid w:val="00652B8A"/>
    <w:rsid w:val="00654BC9"/>
    <w:rsid w:val="006552FD"/>
    <w:rsid w:val="00663AF3"/>
    <w:rsid w:val="00666B6C"/>
    <w:rsid w:val="006804A8"/>
    <w:rsid w:val="00682682"/>
    <w:rsid w:val="00682702"/>
    <w:rsid w:val="00685602"/>
    <w:rsid w:val="00687092"/>
    <w:rsid w:val="00692368"/>
    <w:rsid w:val="006A2EBC"/>
    <w:rsid w:val="006A5EA0"/>
    <w:rsid w:val="006A783B"/>
    <w:rsid w:val="006A7B33"/>
    <w:rsid w:val="006B2678"/>
    <w:rsid w:val="006B4E13"/>
    <w:rsid w:val="006B75DD"/>
    <w:rsid w:val="006C2A5E"/>
    <w:rsid w:val="006C327A"/>
    <w:rsid w:val="006C67E0"/>
    <w:rsid w:val="006C7756"/>
    <w:rsid w:val="006C7ABA"/>
    <w:rsid w:val="006D0D60"/>
    <w:rsid w:val="006D1122"/>
    <w:rsid w:val="006D3C00"/>
    <w:rsid w:val="006E1B77"/>
    <w:rsid w:val="006E3675"/>
    <w:rsid w:val="006E4A7F"/>
    <w:rsid w:val="006F7D3E"/>
    <w:rsid w:val="00703100"/>
    <w:rsid w:val="00704DF6"/>
    <w:rsid w:val="0070651C"/>
    <w:rsid w:val="007132A3"/>
    <w:rsid w:val="00716421"/>
    <w:rsid w:val="00724EFB"/>
    <w:rsid w:val="007419C3"/>
    <w:rsid w:val="007467A7"/>
    <w:rsid w:val="007469DD"/>
    <w:rsid w:val="0074741B"/>
    <w:rsid w:val="0074759E"/>
    <w:rsid w:val="007478EA"/>
    <w:rsid w:val="00753545"/>
    <w:rsid w:val="0075415C"/>
    <w:rsid w:val="00763502"/>
    <w:rsid w:val="00767C97"/>
    <w:rsid w:val="007913AB"/>
    <w:rsid w:val="007914F7"/>
    <w:rsid w:val="00795315"/>
    <w:rsid w:val="007B1625"/>
    <w:rsid w:val="007B6615"/>
    <w:rsid w:val="007B706E"/>
    <w:rsid w:val="007B71EB"/>
    <w:rsid w:val="007C0897"/>
    <w:rsid w:val="007C2EB5"/>
    <w:rsid w:val="007C6205"/>
    <w:rsid w:val="007C686A"/>
    <w:rsid w:val="007C728E"/>
    <w:rsid w:val="007D2C53"/>
    <w:rsid w:val="007D3D60"/>
    <w:rsid w:val="007D51CD"/>
    <w:rsid w:val="007E0FE3"/>
    <w:rsid w:val="007E1980"/>
    <w:rsid w:val="007E41E2"/>
    <w:rsid w:val="007E4B76"/>
    <w:rsid w:val="007E5EA8"/>
    <w:rsid w:val="007F0CF1"/>
    <w:rsid w:val="007F12A5"/>
    <w:rsid w:val="007F35A4"/>
    <w:rsid w:val="007F4691"/>
    <w:rsid w:val="007F4CF1"/>
    <w:rsid w:val="007F646B"/>
    <w:rsid w:val="007F758D"/>
    <w:rsid w:val="007F7D52"/>
    <w:rsid w:val="0080268E"/>
    <w:rsid w:val="0080654C"/>
    <w:rsid w:val="008071C6"/>
    <w:rsid w:val="0080742C"/>
    <w:rsid w:val="00817A00"/>
    <w:rsid w:val="00835DB3"/>
    <w:rsid w:val="0083617B"/>
    <w:rsid w:val="008371BD"/>
    <w:rsid w:val="00846DF4"/>
    <w:rsid w:val="008504A8"/>
    <w:rsid w:val="0085282E"/>
    <w:rsid w:val="00864A2D"/>
    <w:rsid w:val="0087198C"/>
    <w:rsid w:val="00872C1F"/>
    <w:rsid w:val="00873B42"/>
    <w:rsid w:val="008856D8"/>
    <w:rsid w:val="00887448"/>
    <w:rsid w:val="00892E82"/>
    <w:rsid w:val="008A1F57"/>
    <w:rsid w:val="008B0DD3"/>
    <w:rsid w:val="008B77DC"/>
    <w:rsid w:val="008C1B58"/>
    <w:rsid w:val="008C39AE"/>
    <w:rsid w:val="008C590D"/>
    <w:rsid w:val="008E031B"/>
    <w:rsid w:val="008E7029"/>
    <w:rsid w:val="008E76BF"/>
    <w:rsid w:val="008E7EF6"/>
    <w:rsid w:val="008F0ECA"/>
    <w:rsid w:val="008F19C9"/>
    <w:rsid w:val="008F1F98"/>
    <w:rsid w:val="008F6758"/>
    <w:rsid w:val="00903A1B"/>
    <w:rsid w:val="009040DD"/>
    <w:rsid w:val="00905AF0"/>
    <w:rsid w:val="00905B47"/>
    <w:rsid w:val="0091331C"/>
    <w:rsid w:val="009279DE"/>
    <w:rsid w:val="00930116"/>
    <w:rsid w:val="0094212C"/>
    <w:rsid w:val="00945534"/>
    <w:rsid w:val="009473ED"/>
    <w:rsid w:val="009479E6"/>
    <w:rsid w:val="00947FE7"/>
    <w:rsid w:val="0095286B"/>
    <w:rsid w:val="00954689"/>
    <w:rsid w:val="009549AD"/>
    <w:rsid w:val="00960301"/>
    <w:rsid w:val="009617C9"/>
    <w:rsid w:val="00961C93"/>
    <w:rsid w:val="00965324"/>
    <w:rsid w:val="0097091E"/>
    <w:rsid w:val="00973FEE"/>
    <w:rsid w:val="009760D3"/>
    <w:rsid w:val="0097655C"/>
    <w:rsid w:val="00977132"/>
    <w:rsid w:val="00981A4B"/>
    <w:rsid w:val="00982501"/>
    <w:rsid w:val="009877D3"/>
    <w:rsid w:val="00994E8F"/>
    <w:rsid w:val="009951DC"/>
    <w:rsid w:val="009959BB"/>
    <w:rsid w:val="00997158"/>
    <w:rsid w:val="009A3A7C"/>
    <w:rsid w:val="009A40A1"/>
    <w:rsid w:val="009B2ADB"/>
    <w:rsid w:val="009B603A"/>
    <w:rsid w:val="009C2D0E"/>
    <w:rsid w:val="009C3779"/>
    <w:rsid w:val="009C3DAC"/>
    <w:rsid w:val="009C42E0"/>
    <w:rsid w:val="009C65B2"/>
    <w:rsid w:val="009D5362"/>
    <w:rsid w:val="009E1415"/>
    <w:rsid w:val="009E6116"/>
    <w:rsid w:val="009F0086"/>
    <w:rsid w:val="009F428C"/>
    <w:rsid w:val="00A00D27"/>
    <w:rsid w:val="00A02E43"/>
    <w:rsid w:val="00A065F9"/>
    <w:rsid w:val="00A07F34"/>
    <w:rsid w:val="00A13D87"/>
    <w:rsid w:val="00A22154"/>
    <w:rsid w:val="00A25C38"/>
    <w:rsid w:val="00A350B1"/>
    <w:rsid w:val="00A36BBE"/>
    <w:rsid w:val="00A4307A"/>
    <w:rsid w:val="00A47EBB"/>
    <w:rsid w:val="00A47F59"/>
    <w:rsid w:val="00A51CDD"/>
    <w:rsid w:val="00A63997"/>
    <w:rsid w:val="00A6730D"/>
    <w:rsid w:val="00A70C86"/>
    <w:rsid w:val="00A71625"/>
    <w:rsid w:val="00A71B9B"/>
    <w:rsid w:val="00A751C7"/>
    <w:rsid w:val="00A7535D"/>
    <w:rsid w:val="00A774BA"/>
    <w:rsid w:val="00A87844"/>
    <w:rsid w:val="00A91D07"/>
    <w:rsid w:val="00A944F5"/>
    <w:rsid w:val="00A94909"/>
    <w:rsid w:val="00A9560E"/>
    <w:rsid w:val="00A9621D"/>
    <w:rsid w:val="00AA038C"/>
    <w:rsid w:val="00AA7A09"/>
    <w:rsid w:val="00AB3B50"/>
    <w:rsid w:val="00AB4307"/>
    <w:rsid w:val="00AC0256"/>
    <w:rsid w:val="00AC05B1"/>
    <w:rsid w:val="00AC1507"/>
    <w:rsid w:val="00AD356C"/>
    <w:rsid w:val="00AD78C1"/>
    <w:rsid w:val="00AE2914"/>
    <w:rsid w:val="00AE6D15"/>
    <w:rsid w:val="00AF03D6"/>
    <w:rsid w:val="00B01229"/>
    <w:rsid w:val="00B04182"/>
    <w:rsid w:val="00B07AE3"/>
    <w:rsid w:val="00B11430"/>
    <w:rsid w:val="00B116B9"/>
    <w:rsid w:val="00B26481"/>
    <w:rsid w:val="00B353EB"/>
    <w:rsid w:val="00B439C4"/>
    <w:rsid w:val="00B4415F"/>
    <w:rsid w:val="00B4535E"/>
    <w:rsid w:val="00B478DB"/>
    <w:rsid w:val="00B52A8C"/>
    <w:rsid w:val="00B636A8"/>
    <w:rsid w:val="00B665C6"/>
    <w:rsid w:val="00B7241A"/>
    <w:rsid w:val="00B805AF"/>
    <w:rsid w:val="00B869EC"/>
    <w:rsid w:val="00B91E4B"/>
    <w:rsid w:val="00B9397A"/>
    <w:rsid w:val="00B9546D"/>
    <w:rsid w:val="00B9633D"/>
    <w:rsid w:val="00BA2EBE"/>
    <w:rsid w:val="00BB0251"/>
    <w:rsid w:val="00BB0F28"/>
    <w:rsid w:val="00BB3055"/>
    <w:rsid w:val="00BB3690"/>
    <w:rsid w:val="00BB458A"/>
    <w:rsid w:val="00BB6134"/>
    <w:rsid w:val="00BB6D6A"/>
    <w:rsid w:val="00BC73F7"/>
    <w:rsid w:val="00BD00D3"/>
    <w:rsid w:val="00BD1659"/>
    <w:rsid w:val="00BD3AA9"/>
    <w:rsid w:val="00BD4A18"/>
    <w:rsid w:val="00BD6DB2"/>
    <w:rsid w:val="00BE11CF"/>
    <w:rsid w:val="00BE1D5C"/>
    <w:rsid w:val="00BE21AB"/>
    <w:rsid w:val="00BE4FD0"/>
    <w:rsid w:val="00BE55CB"/>
    <w:rsid w:val="00BE6DEF"/>
    <w:rsid w:val="00BF37BE"/>
    <w:rsid w:val="00BF617A"/>
    <w:rsid w:val="00C0379D"/>
    <w:rsid w:val="00C03931"/>
    <w:rsid w:val="00C05FE3"/>
    <w:rsid w:val="00C2136D"/>
    <w:rsid w:val="00C214EE"/>
    <w:rsid w:val="00C22860"/>
    <w:rsid w:val="00C2314B"/>
    <w:rsid w:val="00C24971"/>
    <w:rsid w:val="00C26BE5"/>
    <w:rsid w:val="00C26E4D"/>
    <w:rsid w:val="00C27909"/>
    <w:rsid w:val="00C27B03"/>
    <w:rsid w:val="00C30491"/>
    <w:rsid w:val="00C314E1"/>
    <w:rsid w:val="00C32F55"/>
    <w:rsid w:val="00C34397"/>
    <w:rsid w:val="00C4095D"/>
    <w:rsid w:val="00C40D1F"/>
    <w:rsid w:val="00C52F29"/>
    <w:rsid w:val="00C55E9F"/>
    <w:rsid w:val="00C56627"/>
    <w:rsid w:val="00C601D2"/>
    <w:rsid w:val="00C657AB"/>
    <w:rsid w:val="00C65BCC"/>
    <w:rsid w:val="00C66970"/>
    <w:rsid w:val="00C71CD4"/>
    <w:rsid w:val="00C76B61"/>
    <w:rsid w:val="00C8691C"/>
    <w:rsid w:val="00C944AF"/>
    <w:rsid w:val="00C96143"/>
    <w:rsid w:val="00CA01A6"/>
    <w:rsid w:val="00CA168A"/>
    <w:rsid w:val="00CA357E"/>
    <w:rsid w:val="00CA363F"/>
    <w:rsid w:val="00CA44F9"/>
    <w:rsid w:val="00CA483C"/>
    <w:rsid w:val="00CA4A69"/>
    <w:rsid w:val="00CC0F19"/>
    <w:rsid w:val="00CC3E0C"/>
    <w:rsid w:val="00CC58D3"/>
    <w:rsid w:val="00CC784D"/>
    <w:rsid w:val="00CD2668"/>
    <w:rsid w:val="00CE1C08"/>
    <w:rsid w:val="00CF00E6"/>
    <w:rsid w:val="00CF662B"/>
    <w:rsid w:val="00D0263E"/>
    <w:rsid w:val="00D0337B"/>
    <w:rsid w:val="00D079B2"/>
    <w:rsid w:val="00D114E9"/>
    <w:rsid w:val="00D2546B"/>
    <w:rsid w:val="00D2772E"/>
    <w:rsid w:val="00D429C6"/>
    <w:rsid w:val="00D47748"/>
    <w:rsid w:val="00D54CC3"/>
    <w:rsid w:val="00D60079"/>
    <w:rsid w:val="00D6041A"/>
    <w:rsid w:val="00D633EB"/>
    <w:rsid w:val="00D82FF7"/>
    <w:rsid w:val="00D847FE"/>
    <w:rsid w:val="00D93EB0"/>
    <w:rsid w:val="00D964EA"/>
    <w:rsid w:val="00D966D0"/>
    <w:rsid w:val="00D97FCF"/>
    <w:rsid w:val="00DA00BA"/>
    <w:rsid w:val="00DA0C59"/>
    <w:rsid w:val="00DA3991"/>
    <w:rsid w:val="00DB7E6C"/>
    <w:rsid w:val="00DD5A29"/>
    <w:rsid w:val="00DD5D9D"/>
    <w:rsid w:val="00DE35CB"/>
    <w:rsid w:val="00DE5383"/>
    <w:rsid w:val="00DF21E9"/>
    <w:rsid w:val="00E00F14"/>
    <w:rsid w:val="00E06386"/>
    <w:rsid w:val="00E15FC4"/>
    <w:rsid w:val="00E24EB4"/>
    <w:rsid w:val="00E306C9"/>
    <w:rsid w:val="00E30A72"/>
    <w:rsid w:val="00E320ED"/>
    <w:rsid w:val="00E33AFB"/>
    <w:rsid w:val="00E34218"/>
    <w:rsid w:val="00E46282"/>
    <w:rsid w:val="00E5216E"/>
    <w:rsid w:val="00E67F53"/>
    <w:rsid w:val="00E70316"/>
    <w:rsid w:val="00E82344"/>
    <w:rsid w:val="00E82F8E"/>
    <w:rsid w:val="00E83DA9"/>
    <w:rsid w:val="00E84C82"/>
    <w:rsid w:val="00E84D64"/>
    <w:rsid w:val="00E87408"/>
    <w:rsid w:val="00E914C4"/>
    <w:rsid w:val="00E933D9"/>
    <w:rsid w:val="00E934F5"/>
    <w:rsid w:val="00E96961"/>
    <w:rsid w:val="00EA72EC"/>
    <w:rsid w:val="00EB11CB"/>
    <w:rsid w:val="00EB275A"/>
    <w:rsid w:val="00EB786A"/>
    <w:rsid w:val="00EC1578"/>
    <w:rsid w:val="00EC168E"/>
    <w:rsid w:val="00EC1C72"/>
    <w:rsid w:val="00EC3CC9"/>
    <w:rsid w:val="00EC680A"/>
    <w:rsid w:val="00ED2534"/>
    <w:rsid w:val="00ED293D"/>
    <w:rsid w:val="00ED2FF0"/>
    <w:rsid w:val="00EE2BED"/>
    <w:rsid w:val="00EE374B"/>
    <w:rsid w:val="00EE56B2"/>
    <w:rsid w:val="00EE7731"/>
    <w:rsid w:val="00F050DA"/>
    <w:rsid w:val="00F063DC"/>
    <w:rsid w:val="00F11BB5"/>
    <w:rsid w:val="00F1417B"/>
    <w:rsid w:val="00F34B99"/>
    <w:rsid w:val="00F47885"/>
    <w:rsid w:val="00F517C3"/>
    <w:rsid w:val="00F52DAB"/>
    <w:rsid w:val="00F543F0"/>
    <w:rsid w:val="00F60A11"/>
    <w:rsid w:val="00F64A5E"/>
    <w:rsid w:val="00F66DC0"/>
    <w:rsid w:val="00F80611"/>
    <w:rsid w:val="00F81D29"/>
    <w:rsid w:val="00F91C4D"/>
    <w:rsid w:val="00F92FD9"/>
    <w:rsid w:val="00F9603E"/>
    <w:rsid w:val="00FA34C2"/>
    <w:rsid w:val="00FA3C08"/>
    <w:rsid w:val="00FA6684"/>
    <w:rsid w:val="00FA731E"/>
    <w:rsid w:val="00FB2B38"/>
    <w:rsid w:val="00FC3489"/>
    <w:rsid w:val="00FC6358"/>
    <w:rsid w:val="00FD2245"/>
    <w:rsid w:val="00FD320D"/>
    <w:rsid w:val="00FE08C1"/>
    <w:rsid w:val="00FE23DE"/>
    <w:rsid w:val="00FE5EF0"/>
    <w:rsid w:val="01F15272"/>
    <w:rsid w:val="045B7AF3"/>
    <w:rsid w:val="04CF4DCD"/>
    <w:rsid w:val="07E74EC3"/>
    <w:rsid w:val="0B30232A"/>
    <w:rsid w:val="11066FA3"/>
    <w:rsid w:val="11837F45"/>
    <w:rsid w:val="125C7380"/>
    <w:rsid w:val="17500927"/>
    <w:rsid w:val="18322525"/>
    <w:rsid w:val="18E54245"/>
    <w:rsid w:val="196300A1"/>
    <w:rsid w:val="1A7732BA"/>
    <w:rsid w:val="1AD378D5"/>
    <w:rsid w:val="1B905C9E"/>
    <w:rsid w:val="1E6F71E1"/>
    <w:rsid w:val="1FA62820"/>
    <w:rsid w:val="28823853"/>
    <w:rsid w:val="28950A1B"/>
    <w:rsid w:val="2AF1341D"/>
    <w:rsid w:val="2B513E2A"/>
    <w:rsid w:val="2C3703A2"/>
    <w:rsid w:val="302D15B1"/>
    <w:rsid w:val="311A6272"/>
    <w:rsid w:val="35C87488"/>
    <w:rsid w:val="384D4AA9"/>
    <w:rsid w:val="38A60D28"/>
    <w:rsid w:val="39F15AAA"/>
    <w:rsid w:val="39FB0D56"/>
    <w:rsid w:val="3A7D32BA"/>
    <w:rsid w:val="3B5D2652"/>
    <w:rsid w:val="3C0B4937"/>
    <w:rsid w:val="3CA60B96"/>
    <w:rsid w:val="40BB22FF"/>
    <w:rsid w:val="413B7EDD"/>
    <w:rsid w:val="417B255F"/>
    <w:rsid w:val="422B5D33"/>
    <w:rsid w:val="427A5913"/>
    <w:rsid w:val="429F4322"/>
    <w:rsid w:val="43040CE3"/>
    <w:rsid w:val="496D1151"/>
    <w:rsid w:val="4A6F4A0A"/>
    <w:rsid w:val="4D4055F3"/>
    <w:rsid w:val="4E324BB9"/>
    <w:rsid w:val="4F5F2A95"/>
    <w:rsid w:val="4FCE63E4"/>
    <w:rsid w:val="53F442CD"/>
    <w:rsid w:val="55C733A0"/>
    <w:rsid w:val="55CF52A3"/>
    <w:rsid w:val="579E7DE5"/>
    <w:rsid w:val="5E927B2E"/>
    <w:rsid w:val="62967347"/>
    <w:rsid w:val="64CB054A"/>
    <w:rsid w:val="66D9725C"/>
    <w:rsid w:val="687D256D"/>
    <w:rsid w:val="6AB05B3C"/>
    <w:rsid w:val="6B151245"/>
    <w:rsid w:val="6BBB1E42"/>
    <w:rsid w:val="6CE519A6"/>
    <w:rsid w:val="706323F0"/>
    <w:rsid w:val="708A7EC5"/>
    <w:rsid w:val="71912528"/>
    <w:rsid w:val="724A4E78"/>
    <w:rsid w:val="727449F8"/>
    <w:rsid w:val="73DC4534"/>
    <w:rsid w:val="76D94C31"/>
    <w:rsid w:val="775C74B0"/>
    <w:rsid w:val="779A6522"/>
    <w:rsid w:val="78647C15"/>
    <w:rsid w:val="7A226B25"/>
    <w:rsid w:val="7A5272D3"/>
    <w:rsid w:val="7A686464"/>
    <w:rsid w:val="7CFE148C"/>
    <w:rsid w:val="7F6243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0"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Body Text"/>
    <w:basedOn w:val="1"/>
    <w:qFormat/>
    <w:uiPriority w:val="0"/>
    <w:pPr>
      <w:spacing w:after="120"/>
    </w:p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0"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Date"/>
    <w:basedOn w:val="1"/>
    <w:next w:val="1"/>
    <w:link w:val="139"/>
    <w:qFormat/>
    <w:uiPriority w:val="0"/>
    <w:pPr>
      <w:ind w:left="100" w:leftChars="2500"/>
    </w:pPr>
  </w:style>
  <w:style w:type="paragraph" w:styleId="15">
    <w:name w:val="endnote text"/>
    <w:basedOn w:val="1"/>
    <w:semiHidden/>
    <w:qFormat/>
    <w:uiPriority w:val="0"/>
    <w:pPr>
      <w:snapToGrid w:val="0"/>
      <w:jc w:val="left"/>
    </w:pPr>
  </w:style>
  <w:style w:type="paragraph" w:styleId="16">
    <w:name w:val="Balloon Text"/>
    <w:basedOn w:val="1"/>
    <w:link w:val="138"/>
    <w:qFormat/>
    <w:uiPriority w:val="0"/>
    <w:rPr>
      <w:sz w:val="18"/>
      <w:szCs w:val="18"/>
    </w:rPr>
  </w:style>
  <w:style w:type="paragraph" w:styleId="17">
    <w:name w:val="footer"/>
    <w:basedOn w:val="1"/>
    <w:qFormat/>
    <w:uiPriority w:val="0"/>
    <w:pPr>
      <w:snapToGrid w:val="0"/>
      <w:ind w:right="210" w:rightChars="100"/>
      <w:jc w:val="right"/>
    </w:pPr>
    <w:rPr>
      <w:sz w:val="18"/>
      <w:szCs w:val="18"/>
    </w:rPr>
  </w:style>
  <w:style w:type="paragraph" w:styleId="18">
    <w:name w:val="header"/>
    <w:basedOn w:val="1"/>
    <w:qFormat/>
    <w:uiPriority w:val="0"/>
    <w:pPr>
      <w:snapToGrid w:val="0"/>
      <w:jc w:val="left"/>
    </w:pPr>
    <w:rPr>
      <w:sz w:val="18"/>
      <w:szCs w:val="18"/>
    </w:rPr>
  </w:style>
  <w:style w:type="paragraph" w:styleId="19">
    <w:name w:val="toc 1"/>
    <w:basedOn w:val="1"/>
    <w:next w:val="1"/>
    <w:semiHidden/>
    <w:qFormat/>
    <w:uiPriority w:val="0"/>
    <w:pPr>
      <w:tabs>
        <w:tab w:val="right" w:leader="dot" w:pos="9242"/>
      </w:tabs>
      <w:spacing w:beforeLines="25" w:afterLines="25"/>
      <w:jc w:val="left"/>
    </w:pPr>
    <w:rPr>
      <w:rFonts w:ascii="宋体"/>
      <w:szCs w:val="21"/>
    </w:rPr>
  </w:style>
  <w:style w:type="paragraph" w:styleId="20">
    <w:name w:val="toc 4"/>
    <w:basedOn w:val="1"/>
    <w:next w:val="1"/>
    <w:semiHidden/>
    <w:qFormat/>
    <w:uiPriority w:val="0"/>
    <w:pPr>
      <w:tabs>
        <w:tab w:val="right" w:leader="dot" w:pos="9241"/>
      </w:tabs>
      <w:ind w:firstLine="200"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1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0"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semiHidden/>
    <w:qFormat/>
    <w:uiPriority w:val="0"/>
    <w:pPr>
      <w:tabs>
        <w:tab w:val="right" w:leader="dot" w:pos="9242"/>
      </w:tabs>
    </w:pPr>
    <w:rPr>
      <w:rFonts w:ascii="宋体"/>
      <w:szCs w:val="21"/>
    </w:rPr>
  </w:style>
  <w:style w:type="paragraph" w:styleId="29">
    <w:name w:val="toc 9"/>
    <w:basedOn w:val="1"/>
    <w:next w:val="1"/>
    <w:semiHidden/>
    <w:qFormat/>
    <w:uiPriority w:val="0"/>
    <w:pPr>
      <w:ind w:left="1470"/>
      <w:jc w:val="left"/>
    </w:pPr>
    <w:rPr>
      <w:sz w:val="20"/>
      <w:szCs w:val="20"/>
    </w:rPr>
  </w:style>
  <w:style w:type="paragraph" w:styleId="30">
    <w:name w:val="index 2"/>
    <w:basedOn w:val="1"/>
    <w:next w:val="1"/>
    <w:qFormat/>
    <w:uiPriority w:val="0"/>
    <w:pPr>
      <w:ind w:left="420" w:hanging="210"/>
      <w:jc w:val="left"/>
    </w:pPr>
    <w:rPr>
      <w:rFonts w:ascii="Calibri" w:hAnsi="Calibri"/>
      <w:sz w:val="20"/>
      <w:szCs w:val="20"/>
    </w:rPr>
  </w:style>
  <w:style w:type="paragraph" w:styleId="31">
    <w:name w:val="Title"/>
    <w:basedOn w:val="1"/>
    <w:qFormat/>
    <w:uiPriority w:val="0"/>
    <w:pPr>
      <w:spacing w:before="240" w:after="60"/>
      <w:jc w:val="center"/>
      <w:outlineLvl w:val="0"/>
    </w:pPr>
    <w:rPr>
      <w:rFonts w:ascii="Arial" w:hAnsi="Arial" w:eastAsia="仿宋" w:cs="Times New Roman"/>
      <w:b/>
      <w:kern w:val="2"/>
      <w:sz w:val="32"/>
      <w:szCs w:val="32"/>
      <w:lang w:eastAsia="zh-CN" w:bidi="ar-SA"/>
    </w:rPr>
  </w:style>
  <w:style w:type="table" w:styleId="33">
    <w:name w:val="Table Grid"/>
    <w:basedOn w:val="32"/>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endnote reference"/>
    <w:semiHidden/>
    <w:qFormat/>
    <w:uiPriority w:val="0"/>
    <w:rPr>
      <w:vertAlign w:val="superscript"/>
    </w:rPr>
  </w:style>
  <w:style w:type="character" w:styleId="36">
    <w:name w:val="page number"/>
    <w:qFormat/>
    <w:uiPriority w:val="0"/>
    <w:rPr>
      <w:rFonts w:ascii="Times New Roman" w:hAnsi="Times New Roman" w:eastAsia="宋体"/>
      <w:sz w:val="18"/>
    </w:rPr>
  </w:style>
  <w:style w:type="character" w:styleId="37">
    <w:name w:val="FollowedHyperlink"/>
    <w:qFormat/>
    <w:uiPriority w:val="0"/>
    <w:rPr>
      <w:color w:val="800080"/>
      <w:u w:val="single"/>
    </w:rPr>
  </w:style>
  <w:style w:type="character" w:styleId="38">
    <w:name w:val="Hyperlink"/>
    <w:qFormat/>
    <w:uiPriority w:val="0"/>
    <w:rPr>
      <w:color w:val="0000FF"/>
      <w:spacing w:val="0"/>
      <w:w w:val="100"/>
      <w:szCs w:val="21"/>
      <w:u w:val="single"/>
    </w:rPr>
  </w:style>
  <w:style w:type="character" w:styleId="39">
    <w:name w:val="footnote reference"/>
    <w:semiHidden/>
    <w:qFormat/>
    <w:uiPriority w:val="0"/>
    <w:rPr>
      <w:vertAlign w:val="superscript"/>
    </w:rPr>
  </w:style>
  <w:style w:type="paragraph" w:customStyle="1" w:styleId="4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2">
    <w:name w:val="注×："/>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paragraph" w:customStyle="1" w:styleId="43">
    <w:name w:val="编号列项（三级）"/>
    <w:qFormat/>
    <w:uiPriority w:val="0"/>
    <w:pPr>
      <w:numPr>
        <w:ilvl w:val="2"/>
        <w:numId w:val="3"/>
      </w:numPr>
    </w:pPr>
    <w:rPr>
      <w:rFonts w:ascii="宋体" w:hAnsi="Times New Roman" w:eastAsia="宋体" w:cs="Times New Roman"/>
      <w:sz w:val="21"/>
      <w:lang w:val="en-US" w:eastAsia="zh-CN" w:bidi="ar-SA"/>
    </w:rPr>
  </w:style>
  <w:style w:type="paragraph" w:customStyle="1" w:styleId="4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45">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46">
    <w:name w:val="其他标准标志"/>
    <w:basedOn w:val="47"/>
    <w:qFormat/>
    <w:uiPriority w:val="0"/>
    <w:pPr>
      <w:framePr w:w="6101" w:wrap="around" w:vAnchor="page" w:hAnchor="page" w:x="4673" w:y="942"/>
    </w:pPr>
    <w:rPr>
      <w:w w:val="130"/>
    </w:rPr>
  </w:style>
  <w:style w:type="paragraph" w:customStyle="1" w:styleId="4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48">
    <w:name w:val="五级条标题"/>
    <w:basedOn w:val="49"/>
    <w:next w:val="23"/>
    <w:qFormat/>
    <w:uiPriority w:val="0"/>
    <w:pPr>
      <w:numPr>
        <w:ilvl w:val="5"/>
      </w:numPr>
      <w:outlineLvl w:val="6"/>
    </w:pPr>
  </w:style>
  <w:style w:type="paragraph" w:customStyle="1" w:styleId="49">
    <w:name w:val="四级条标题"/>
    <w:basedOn w:val="50"/>
    <w:next w:val="23"/>
    <w:qFormat/>
    <w:uiPriority w:val="0"/>
    <w:pPr>
      <w:numPr>
        <w:ilvl w:val="4"/>
        <w:numId w:val="4"/>
      </w:numPr>
      <w:outlineLvl w:val="5"/>
    </w:pPr>
  </w:style>
  <w:style w:type="paragraph" w:customStyle="1" w:styleId="50">
    <w:name w:val="三级条标题"/>
    <w:basedOn w:val="51"/>
    <w:next w:val="23"/>
    <w:qFormat/>
    <w:uiPriority w:val="0"/>
    <w:pPr>
      <w:outlineLvl w:val="4"/>
    </w:pPr>
  </w:style>
  <w:style w:type="paragraph" w:customStyle="1" w:styleId="51">
    <w:name w:val="二级条标题"/>
    <w:basedOn w:val="52"/>
    <w:next w:val="1"/>
    <w:qFormat/>
    <w:uiPriority w:val="0"/>
    <w:pPr>
      <w:numPr>
        <w:ilvl w:val="0"/>
        <w:numId w:val="0"/>
      </w:numPr>
      <w:spacing w:before="50" w:after="50"/>
      <w:outlineLvl w:val="3"/>
    </w:pPr>
  </w:style>
  <w:style w:type="paragraph" w:customStyle="1" w:styleId="52">
    <w:name w:val="一级条标题"/>
    <w:next w:val="1"/>
    <w:qFormat/>
    <w:uiPriority w:val="0"/>
    <w:pPr>
      <w:numPr>
        <w:ilvl w:val="1"/>
        <w:numId w:val="4"/>
      </w:numPr>
      <w:spacing w:beforeLines="50" w:afterLines="50"/>
      <w:outlineLvl w:val="2"/>
    </w:pPr>
    <w:rPr>
      <w:rFonts w:ascii="黑体" w:hAnsi="Times New Roman" w:eastAsia="黑体" w:cs="Times New Roman"/>
      <w:sz w:val="21"/>
      <w:szCs w:val="21"/>
      <w:lang w:val="en-US" w:eastAsia="zh-CN" w:bidi="ar-SA"/>
    </w:rPr>
  </w:style>
  <w:style w:type="paragraph" w:customStyle="1" w:styleId="53">
    <w:name w:val="列项——（一级）"/>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54">
    <w:name w:val="列项◆（三级）"/>
    <w:basedOn w:val="1"/>
    <w:qFormat/>
    <w:uiPriority w:val="0"/>
    <w:pPr>
      <w:numPr>
        <w:ilvl w:val="2"/>
        <w:numId w:val="5"/>
      </w:numPr>
    </w:pPr>
    <w:rPr>
      <w:rFonts w:ascii="宋体"/>
      <w:szCs w:val="21"/>
    </w:rPr>
  </w:style>
  <w:style w:type="paragraph" w:customStyle="1" w:styleId="5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56">
    <w:name w:val="封面正文"/>
    <w:qFormat/>
    <w:uiPriority w:val="0"/>
    <w:pPr>
      <w:jc w:val="both"/>
    </w:pPr>
    <w:rPr>
      <w:rFonts w:ascii="Times New Roman" w:hAnsi="Times New Roman" w:eastAsia="宋体" w:cs="Times New Roman"/>
      <w:lang w:val="en-US" w:eastAsia="zh-CN" w:bidi="ar-SA"/>
    </w:rPr>
  </w:style>
  <w:style w:type="paragraph" w:customStyle="1" w:styleId="57">
    <w:name w:val="封面一致性程度标识2"/>
    <w:basedOn w:val="58"/>
    <w:qFormat/>
    <w:uiPriority w:val="0"/>
    <w:pPr>
      <w:framePr w:wrap="around" w:y="4469"/>
    </w:pPr>
  </w:style>
  <w:style w:type="paragraph" w:customStyle="1" w:styleId="58">
    <w:name w:val="封面一致性程度标识"/>
    <w:basedOn w:val="59"/>
    <w:qFormat/>
    <w:uiPriority w:val="0"/>
    <w:pPr>
      <w:framePr w:wrap="around"/>
      <w:spacing w:before="440"/>
    </w:pPr>
    <w:rPr>
      <w:rFonts w:ascii="宋体" w:eastAsia="宋体"/>
    </w:rPr>
  </w:style>
  <w:style w:type="paragraph" w:customStyle="1" w:styleId="59">
    <w:name w:val="封面标准英文名称"/>
    <w:basedOn w:val="60"/>
    <w:qFormat/>
    <w:uiPriority w:val="0"/>
    <w:pPr>
      <w:framePr w:wrap="around"/>
      <w:spacing w:before="370" w:line="400" w:lineRule="exact"/>
    </w:pPr>
    <w:rPr>
      <w:rFonts w:ascii="Times New Roman"/>
      <w:sz w:val="28"/>
      <w:szCs w:val="28"/>
    </w:rPr>
  </w:style>
  <w:style w:type="paragraph" w:customStyle="1" w:styleId="6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1">
    <w:name w:val="示例×："/>
    <w:basedOn w:val="62"/>
    <w:qFormat/>
    <w:uiPriority w:val="0"/>
    <w:pPr>
      <w:numPr>
        <w:numId w:val="6"/>
      </w:numPr>
      <w:spacing w:beforeLines="0" w:afterLines="0"/>
      <w:outlineLvl w:val="9"/>
    </w:pPr>
    <w:rPr>
      <w:rFonts w:ascii="宋体" w:eastAsia="宋体"/>
      <w:sz w:val="18"/>
      <w:szCs w:val="18"/>
    </w:rPr>
  </w:style>
  <w:style w:type="paragraph" w:customStyle="1" w:styleId="62">
    <w:name w:val="章标题"/>
    <w:next w:val="23"/>
    <w:qFormat/>
    <w:uiPriority w:val="0"/>
    <w:pPr>
      <w:numPr>
        <w:ilvl w:val="0"/>
        <w:numId w:val="4"/>
      </w:numPr>
      <w:spacing w:beforeLines="100" w:afterLines="100"/>
      <w:jc w:val="both"/>
      <w:outlineLvl w:val="1"/>
    </w:pPr>
    <w:rPr>
      <w:rFonts w:ascii="黑体" w:hAnsi="Times New Roman" w:eastAsia="黑体" w:cs="Times New Roman"/>
      <w:sz w:val="21"/>
      <w:lang w:val="en-US" w:eastAsia="zh-CN" w:bidi="ar-SA"/>
    </w:rPr>
  </w:style>
  <w:style w:type="paragraph" w:customStyle="1" w:styleId="63">
    <w:name w:val="附录标题"/>
    <w:basedOn w:val="23"/>
    <w:next w:val="23"/>
    <w:qFormat/>
    <w:uiPriority w:val="0"/>
    <w:pPr>
      <w:ind w:firstLine="0" w:firstLineChars="0"/>
      <w:jc w:val="center"/>
    </w:pPr>
    <w:rPr>
      <w:rFonts w:ascii="黑体" w:eastAsia="黑体"/>
    </w:rPr>
  </w:style>
  <w:style w:type="paragraph" w:customStyle="1" w:styleId="64">
    <w:name w:val="其他实施日期"/>
    <w:basedOn w:val="65"/>
    <w:qFormat/>
    <w:uiPriority w:val="0"/>
    <w:pPr>
      <w:framePr w:wrap="around"/>
    </w:pPr>
  </w:style>
  <w:style w:type="paragraph" w:customStyle="1" w:styleId="65">
    <w:name w:val="实施日期"/>
    <w:basedOn w:val="66"/>
    <w:qFormat/>
    <w:uiPriority w:val="0"/>
    <w:pPr>
      <w:framePr w:wrap="around" w:vAnchor="page" w:hAnchor="text"/>
      <w:jc w:val="right"/>
    </w:pPr>
  </w:style>
  <w:style w:type="paragraph" w:customStyle="1" w:styleId="6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67">
    <w:name w:val="封面标准名称2"/>
    <w:basedOn w:val="60"/>
    <w:qFormat/>
    <w:uiPriority w:val="0"/>
    <w:pPr>
      <w:framePr w:wrap="around" w:y="4469"/>
      <w:spacing w:beforeLines="630"/>
    </w:pPr>
  </w:style>
  <w:style w:type="paragraph" w:customStyle="1" w:styleId="6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9">
    <w:name w:val="标准书眉一"/>
    <w:qFormat/>
    <w:uiPriority w:val="0"/>
    <w:pPr>
      <w:jc w:val="both"/>
    </w:pPr>
    <w:rPr>
      <w:rFonts w:ascii="Times New Roman" w:hAnsi="Times New Roman" w:eastAsia="宋体" w:cs="Times New Roman"/>
      <w:lang w:val="en-US" w:eastAsia="zh-CN" w:bidi="ar-SA"/>
    </w:rPr>
  </w:style>
  <w:style w:type="paragraph" w:customStyle="1" w:styleId="70">
    <w:name w:val="附录字母编号列项（一级）"/>
    <w:qFormat/>
    <w:uiPriority w:val="0"/>
    <w:pPr>
      <w:numPr>
        <w:ilvl w:val="0"/>
        <w:numId w:val="7"/>
      </w:numPr>
    </w:pPr>
    <w:rPr>
      <w:rFonts w:ascii="宋体" w:hAnsi="Times New Roman" w:eastAsia="宋体" w:cs="Times New Roman"/>
      <w:sz w:val="21"/>
      <w:lang w:val="en-US" w:eastAsia="zh-CN" w:bidi="ar-SA"/>
    </w:rPr>
  </w:style>
  <w:style w:type="paragraph" w:customStyle="1" w:styleId="71">
    <w:name w:val="数字编号列项（二级）"/>
    <w:qFormat/>
    <w:uiPriority w:val="0"/>
    <w:pPr>
      <w:numPr>
        <w:ilvl w:val="1"/>
        <w:numId w:val="3"/>
      </w:numPr>
      <w:jc w:val="both"/>
    </w:pPr>
    <w:rPr>
      <w:rFonts w:ascii="宋体" w:hAnsi="Times New Roman" w:eastAsia="宋体" w:cs="Times New Roman"/>
      <w:sz w:val="21"/>
      <w:lang w:val="en-US" w:eastAsia="zh-CN" w:bidi="ar-SA"/>
    </w:rPr>
  </w:style>
  <w:style w:type="paragraph" w:customStyle="1" w:styleId="72">
    <w:name w:val="附录二级条标题"/>
    <w:basedOn w:val="1"/>
    <w:next w:val="23"/>
    <w:qFormat/>
    <w:uiPriority w:val="0"/>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73">
    <w:name w:val="二级无"/>
    <w:basedOn w:val="51"/>
    <w:qFormat/>
    <w:uiPriority w:val="0"/>
    <w:pPr>
      <w:spacing w:beforeLines="0" w:afterLines="0"/>
    </w:pPr>
    <w:rPr>
      <w:rFonts w:ascii="宋体" w:eastAsia="宋体"/>
    </w:rPr>
  </w:style>
  <w:style w:type="paragraph" w:customStyle="1" w:styleId="74">
    <w:name w:val="正文公式编号制表符"/>
    <w:basedOn w:val="23"/>
    <w:next w:val="23"/>
    <w:qFormat/>
    <w:uiPriority w:val="0"/>
    <w:pPr>
      <w:ind w:firstLine="0" w:firstLineChars="0"/>
    </w:pPr>
  </w:style>
  <w:style w:type="paragraph" w:customStyle="1" w:styleId="75">
    <w:name w:val="附录数字编号列项（二级）"/>
    <w:qFormat/>
    <w:uiPriority w:val="0"/>
    <w:pPr>
      <w:numPr>
        <w:ilvl w:val="1"/>
        <w:numId w:val="7"/>
      </w:numPr>
    </w:pPr>
    <w:rPr>
      <w:rFonts w:ascii="宋体" w:hAnsi="Times New Roman" w:eastAsia="宋体" w:cs="Times New Roman"/>
      <w:sz w:val="21"/>
      <w:lang w:val="en-US" w:eastAsia="zh-CN" w:bidi="ar-SA"/>
    </w:rPr>
  </w:style>
  <w:style w:type="paragraph" w:customStyle="1" w:styleId="76">
    <w:name w:val="标准书眉_偶数页"/>
    <w:basedOn w:val="77"/>
    <w:next w:val="1"/>
    <w:qFormat/>
    <w:uiPriority w:val="0"/>
    <w:pPr>
      <w:tabs>
        <w:tab w:val="center" w:pos="4154"/>
        <w:tab w:val="right" w:pos="8306"/>
      </w:tabs>
      <w:jc w:val="left"/>
    </w:pPr>
  </w:style>
  <w:style w:type="paragraph" w:customStyle="1" w:styleId="7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79">
    <w:name w:val="示例"/>
    <w:next w:val="44"/>
    <w:qFormat/>
    <w:uiPriority w:val="0"/>
    <w:pPr>
      <w:widowControl w:val="0"/>
      <w:numPr>
        <w:ilvl w:val="0"/>
        <w:numId w:val="9"/>
      </w:numPr>
      <w:jc w:val="both"/>
    </w:pPr>
    <w:rPr>
      <w:rFonts w:ascii="宋体" w:hAnsi="Times New Roman" w:eastAsia="宋体" w:cs="Times New Roman"/>
      <w:sz w:val="18"/>
      <w:szCs w:val="18"/>
      <w:lang w:val="en-US" w:eastAsia="zh-CN" w:bidi="ar-SA"/>
    </w:rPr>
  </w:style>
  <w:style w:type="paragraph" w:customStyle="1" w:styleId="80">
    <w:name w:val="正文表标题"/>
    <w:next w:val="23"/>
    <w:qFormat/>
    <w:uiPriority w:val="0"/>
    <w:pPr>
      <w:numPr>
        <w:ilvl w:val="0"/>
        <w:numId w:val="1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81">
    <w:name w:val="附录章标题"/>
    <w:next w:val="23"/>
    <w:qFormat/>
    <w:uiPriority w:val="0"/>
    <w:pPr>
      <w:numPr>
        <w:ilvl w:val="1"/>
        <w:numId w:val="8"/>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82">
    <w:name w:val="封面标准文稿类别2"/>
    <w:basedOn w:val="83"/>
    <w:qFormat/>
    <w:uiPriority w:val="0"/>
    <w:pPr>
      <w:framePr w:wrap="around" w:y="4469"/>
    </w:pPr>
  </w:style>
  <w:style w:type="paragraph" w:customStyle="1" w:styleId="83">
    <w:name w:val="封面标准文稿类别"/>
    <w:basedOn w:val="58"/>
    <w:qFormat/>
    <w:uiPriority w:val="0"/>
    <w:pPr>
      <w:framePr w:wrap="around"/>
      <w:spacing w:after="160" w:line="240" w:lineRule="auto"/>
    </w:pPr>
    <w:rPr>
      <w:sz w:val="24"/>
    </w:rPr>
  </w:style>
  <w:style w:type="paragraph" w:customStyle="1" w:styleId="84">
    <w:name w:val="正文图标题"/>
    <w:next w:val="23"/>
    <w:qFormat/>
    <w:uiPriority w:val="0"/>
    <w:pPr>
      <w:numPr>
        <w:ilvl w:val="0"/>
        <w:numId w:val="1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85">
    <w:name w:val="三级无"/>
    <w:basedOn w:val="50"/>
    <w:qFormat/>
    <w:uiPriority w:val="0"/>
    <w:pPr>
      <w:spacing w:beforeLines="0" w:afterLines="0"/>
    </w:pPr>
    <w:rPr>
      <w:rFonts w:ascii="宋体" w:eastAsia="宋体"/>
    </w:rPr>
  </w:style>
  <w:style w:type="paragraph" w:customStyle="1" w:styleId="86">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7">
    <w:name w:val="附录三级无"/>
    <w:basedOn w:val="88"/>
    <w:qFormat/>
    <w:uiPriority w:val="0"/>
    <w:pPr>
      <w:tabs>
        <w:tab w:val="left" w:pos="360"/>
      </w:tabs>
      <w:spacing w:beforeLines="0" w:afterLines="0"/>
    </w:pPr>
    <w:rPr>
      <w:rFonts w:ascii="宋体" w:eastAsia="宋体"/>
      <w:szCs w:val="21"/>
    </w:rPr>
  </w:style>
  <w:style w:type="paragraph" w:customStyle="1" w:styleId="88">
    <w:name w:val="附录三级条标题"/>
    <w:basedOn w:val="72"/>
    <w:next w:val="23"/>
    <w:qFormat/>
    <w:uiPriority w:val="0"/>
    <w:pPr>
      <w:numPr>
        <w:ilvl w:val="0"/>
        <w:numId w:val="0"/>
      </w:numPr>
      <w:outlineLvl w:val="4"/>
    </w:pPr>
  </w:style>
  <w:style w:type="paragraph" w:customStyle="1" w:styleId="89">
    <w:name w:val="附录五级无"/>
    <w:basedOn w:val="90"/>
    <w:qFormat/>
    <w:uiPriority w:val="0"/>
    <w:pPr>
      <w:tabs>
        <w:tab w:val="left" w:pos="360"/>
      </w:tabs>
      <w:spacing w:beforeLines="0" w:afterLines="0"/>
    </w:pPr>
    <w:rPr>
      <w:rFonts w:ascii="宋体" w:eastAsia="宋体"/>
      <w:szCs w:val="21"/>
    </w:rPr>
  </w:style>
  <w:style w:type="paragraph" w:customStyle="1" w:styleId="90">
    <w:name w:val="附录五级条标题"/>
    <w:basedOn w:val="91"/>
    <w:next w:val="23"/>
    <w:qFormat/>
    <w:uiPriority w:val="0"/>
    <w:pPr>
      <w:numPr>
        <w:ilvl w:val="0"/>
        <w:numId w:val="0"/>
      </w:numPr>
      <w:tabs>
        <w:tab w:val="left" w:pos="360"/>
      </w:tabs>
      <w:outlineLvl w:val="6"/>
    </w:pPr>
  </w:style>
  <w:style w:type="paragraph" w:customStyle="1" w:styleId="91">
    <w:name w:val="附录四级条标题"/>
    <w:basedOn w:val="88"/>
    <w:next w:val="23"/>
    <w:qFormat/>
    <w:uiPriority w:val="0"/>
    <w:pPr>
      <w:numPr>
        <w:ilvl w:val="5"/>
        <w:numId w:val="8"/>
      </w:numPr>
      <w:outlineLvl w:val="5"/>
    </w:pPr>
  </w:style>
  <w:style w:type="paragraph" w:customStyle="1" w:styleId="92">
    <w:name w:val="注×：（正文）"/>
    <w:qFormat/>
    <w:uiPriority w:val="0"/>
    <w:pPr>
      <w:numPr>
        <w:ilvl w:val="0"/>
        <w:numId w:val="12"/>
      </w:numPr>
      <w:jc w:val="both"/>
    </w:pPr>
    <w:rPr>
      <w:rFonts w:ascii="宋体" w:hAnsi="Times New Roman" w:eastAsia="宋体" w:cs="Times New Roman"/>
      <w:sz w:val="18"/>
      <w:szCs w:val="18"/>
      <w:lang w:val="en-US" w:eastAsia="zh-CN" w:bidi="ar-SA"/>
    </w:rPr>
  </w:style>
  <w:style w:type="paragraph" w:customStyle="1" w:styleId="93">
    <w:name w:val="附录图标题"/>
    <w:basedOn w:val="1"/>
    <w:next w:val="23"/>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94">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95">
    <w:name w:val="附录一级条标题"/>
    <w:basedOn w:val="81"/>
    <w:next w:val="23"/>
    <w:qFormat/>
    <w:uiPriority w:val="0"/>
    <w:pPr>
      <w:numPr>
        <w:ilvl w:val="2"/>
      </w:numPr>
      <w:autoSpaceDN w:val="0"/>
      <w:spacing w:beforeLines="50" w:afterLines="50"/>
      <w:outlineLvl w:val="2"/>
    </w:pPr>
  </w:style>
  <w:style w:type="paragraph" w:customStyle="1" w:styleId="9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9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98">
    <w:name w:val="条文脚注"/>
    <w:basedOn w:val="24"/>
    <w:qFormat/>
    <w:uiPriority w:val="0"/>
    <w:pPr>
      <w:numPr>
        <w:numId w:val="0"/>
      </w:numPr>
      <w:jc w:val="both"/>
    </w:pPr>
  </w:style>
  <w:style w:type="paragraph" w:customStyle="1" w:styleId="99">
    <w:name w:val="列项●（二级）"/>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100">
    <w:name w:val="附录二级无"/>
    <w:basedOn w:val="72"/>
    <w:qFormat/>
    <w:uiPriority w:val="0"/>
    <w:pPr>
      <w:tabs>
        <w:tab w:val="clear" w:pos="360"/>
      </w:tabs>
      <w:spacing w:beforeLines="0" w:afterLines="0"/>
    </w:pPr>
    <w:rPr>
      <w:rFonts w:ascii="宋体" w:eastAsia="宋体"/>
      <w:szCs w:val="21"/>
    </w:rPr>
  </w:style>
  <w:style w:type="paragraph" w:customStyle="1" w:styleId="101">
    <w:name w:val="一级无"/>
    <w:basedOn w:val="52"/>
    <w:qFormat/>
    <w:uiPriority w:val="0"/>
    <w:pPr>
      <w:spacing w:beforeLines="0" w:afterLines="0"/>
    </w:pPr>
    <w:rPr>
      <w:rFonts w:ascii="宋体" w:eastAsia="宋体"/>
    </w:rPr>
  </w:style>
  <w:style w:type="paragraph" w:customStyle="1" w:styleId="102">
    <w:name w:val="附录一级无"/>
    <w:basedOn w:val="95"/>
    <w:qFormat/>
    <w:uiPriority w:val="0"/>
    <w:pPr>
      <w:tabs>
        <w:tab w:val="clear" w:pos="360"/>
      </w:tabs>
      <w:spacing w:beforeLines="0" w:afterLines="0"/>
    </w:pPr>
    <w:rPr>
      <w:rFonts w:ascii="宋体" w:eastAsia="宋体"/>
      <w:szCs w:val="21"/>
    </w:rPr>
  </w:style>
  <w:style w:type="paragraph" w:customStyle="1" w:styleId="103">
    <w:name w:val="五级无"/>
    <w:basedOn w:val="48"/>
    <w:qFormat/>
    <w:uiPriority w:val="0"/>
    <w:pPr>
      <w:spacing w:beforeLines="0" w:afterLines="0"/>
    </w:pPr>
    <w:rPr>
      <w:rFonts w:ascii="宋体" w:eastAsia="宋体"/>
    </w:rPr>
  </w:style>
  <w:style w:type="paragraph" w:customStyle="1" w:styleId="104">
    <w:name w:val="图标脚注说明"/>
    <w:basedOn w:val="23"/>
    <w:qFormat/>
    <w:uiPriority w:val="0"/>
    <w:pPr>
      <w:ind w:left="840" w:hanging="420" w:firstLineChars="0"/>
    </w:pPr>
    <w:rPr>
      <w:sz w:val="18"/>
      <w:szCs w:val="18"/>
    </w:rPr>
  </w:style>
  <w:style w:type="paragraph" w:customStyle="1" w:styleId="105">
    <w:name w:val="封面标准文稿编辑信息2"/>
    <w:basedOn w:val="106"/>
    <w:qFormat/>
    <w:uiPriority w:val="0"/>
    <w:pPr>
      <w:framePr w:wrap="around" w:y="4469"/>
    </w:pPr>
  </w:style>
  <w:style w:type="paragraph" w:customStyle="1" w:styleId="106">
    <w:name w:val="封面标准文稿编辑信息"/>
    <w:basedOn w:val="83"/>
    <w:qFormat/>
    <w:uiPriority w:val="0"/>
    <w:pPr>
      <w:framePr w:wrap="around"/>
      <w:spacing w:before="180" w:line="180" w:lineRule="exact"/>
    </w:pPr>
    <w:rPr>
      <w:sz w:val="21"/>
    </w:rPr>
  </w:style>
  <w:style w:type="paragraph" w:customStyle="1" w:styleId="107">
    <w:name w:val="图表脚注说明"/>
    <w:basedOn w:val="1"/>
    <w:qFormat/>
    <w:uiPriority w:val="0"/>
    <w:pPr>
      <w:numPr>
        <w:ilvl w:val="0"/>
        <w:numId w:val="14"/>
      </w:numPr>
    </w:pPr>
    <w:rPr>
      <w:rFonts w:ascii="宋体"/>
      <w:sz w:val="18"/>
      <w:szCs w:val="18"/>
    </w:rPr>
  </w:style>
  <w:style w:type="paragraph" w:customStyle="1" w:styleId="108">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09">
    <w:name w:val="注：（正文）"/>
    <w:basedOn w:val="110"/>
    <w:next w:val="23"/>
    <w:qFormat/>
    <w:uiPriority w:val="0"/>
  </w:style>
  <w:style w:type="paragraph" w:customStyle="1" w:styleId="110">
    <w:name w:val="注："/>
    <w:next w:val="23"/>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11">
    <w:name w:val="首示例"/>
    <w:next w:val="23"/>
    <w:link w:val="136"/>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paragraph" w:customStyle="1" w:styleId="112">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14">
    <w:name w:val="其他发布部门"/>
    <w:basedOn w:val="86"/>
    <w:qFormat/>
    <w:uiPriority w:val="0"/>
    <w:pPr>
      <w:framePr w:wrap="around" w:y="15310"/>
      <w:spacing w:line="0" w:lineRule="atLeast"/>
    </w:pPr>
    <w:rPr>
      <w:rFonts w:ascii="黑体" w:eastAsia="黑体"/>
      <w:b w:val="0"/>
    </w:rPr>
  </w:style>
  <w:style w:type="paragraph" w:customStyle="1" w:styleId="115">
    <w:name w:val="附录四级无"/>
    <w:basedOn w:val="91"/>
    <w:qFormat/>
    <w:uiPriority w:val="0"/>
    <w:pPr>
      <w:tabs>
        <w:tab w:val="clear" w:pos="360"/>
      </w:tabs>
      <w:spacing w:beforeLines="0" w:afterLines="0"/>
    </w:pPr>
    <w:rPr>
      <w:rFonts w:ascii="宋体" w:eastAsia="宋体"/>
      <w:szCs w:val="21"/>
    </w:rPr>
  </w:style>
  <w:style w:type="paragraph" w:customStyle="1" w:styleId="11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7">
    <w:name w:val="我的表格文字"/>
    <w:basedOn w:val="1"/>
    <w:qFormat/>
    <w:uiPriority w:val="0"/>
    <w:pPr>
      <w:autoSpaceDE w:val="0"/>
      <w:spacing w:line="440" w:lineRule="exact"/>
    </w:pPr>
    <w:rPr>
      <w:rFonts w:ascii="仿宋_GB2312" w:hAnsi="Arial" w:cs="宋体"/>
      <w:szCs w:val="21"/>
    </w:rPr>
  </w:style>
  <w:style w:type="paragraph" w:customStyle="1" w:styleId="118">
    <w:name w:val="封面标准英文名称2"/>
    <w:basedOn w:val="59"/>
    <w:qFormat/>
    <w:uiPriority w:val="0"/>
    <w:pPr>
      <w:framePr w:wrap="around" w:y="4469"/>
    </w:pPr>
  </w:style>
  <w:style w:type="paragraph" w:customStyle="1" w:styleId="11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20">
    <w:name w:val="终结线"/>
    <w:basedOn w:val="1"/>
    <w:qFormat/>
    <w:uiPriority w:val="0"/>
    <w:pPr>
      <w:framePr w:hSpace="181" w:vSpace="181" w:wrap="around" w:vAnchor="text" w:hAnchor="margin" w:xAlign="center" w:y="285"/>
    </w:pPr>
  </w:style>
  <w:style w:type="paragraph" w:customStyle="1" w:styleId="121">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122">
    <w:name w:val="附录表标题"/>
    <w:basedOn w:val="1"/>
    <w:next w:val="23"/>
    <w:qFormat/>
    <w:uiPriority w:val="0"/>
    <w:pPr>
      <w:numPr>
        <w:ilvl w:val="1"/>
        <w:numId w:val="16"/>
      </w:numPr>
      <w:tabs>
        <w:tab w:val="left" w:pos="180"/>
      </w:tabs>
      <w:spacing w:beforeLines="50" w:afterLines="50"/>
      <w:ind w:left="0" w:firstLine="0"/>
      <w:jc w:val="center"/>
    </w:pPr>
    <w:rPr>
      <w:rFonts w:ascii="黑体" w:eastAsia="黑体"/>
      <w:szCs w:val="21"/>
    </w:rPr>
  </w:style>
  <w:style w:type="paragraph" w:customStyle="1" w:styleId="123">
    <w:name w:val="附录标识"/>
    <w:basedOn w:val="1"/>
    <w:next w:val="23"/>
    <w:qFormat/>
    <w:uiPriority w:val="0"/>
    <w:pPr>
      <w:keepNext/>
      <w:widowControl/>
      <w:numPr>
        <w:ilvl w:val="0"/>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24">
    <w:name w:val="附录表标号"/>
    <w:basedOn w:val="1"/>
    <w:next w:val="23"/>
    <w:qFormat/>
    <w:uiPriority w:val="0"/>
    <w:pPr>
      <w:numPr>
        <w:ilvl w:val="0"/>
        <w:numId w:val="16"/>
      </w:numPr>
      <w:tabs>
        <w:tab w:val="clear" w:pos="0"/>
      </w:tabs>
      <w:spacing w:line="14" w:lineRule="exact"/>
      <w:ind w:left="811" w:hanging="448"/>
      <w:jc w:val="center"/>
      <w:outlineLvl w:val="0"/>
    </w:pPr>
    <w:rPr>
      <w:color w:val="FFFFFF"/>
    </w:rPr>
  </w:style>
  <w:style w:type="paragraph" w:customStyle="1" w:styleId="125">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26">
    <w:name w:val="其他发布日期"/>
    <w:basedOn w:val="66"/>
    <w:qFormat/>
    <w:uiPriority w:val="0"/>
    <w:pPr>
      <w:framePr w:wrap="around" w:vAnchor="page" w:hAnchor="text" w:x="1419"/>
    </w:pPr>
  </w:style>
  <w:style w:type="paragraph" w:customStyle="1" w:styleId="127">
    <w:name w:val="附录公式"/>
    <w:basedOn w:val="23"/>
    <w:next w:val="23"/>
    <w:link w:val="137"/>
    <w:qFormat/>
    <w:uiPriority w:val="0"/>
  </w:style>
  <w:style w:type="paragraph" w:customStyle="1" w:styleId="128">
    <w:name w:val="四级无"/>
    <w:basedOn w:val="49"/>
    <w:qFormat/>
    <w:uiPriority w:val="0"/>
    <w:pPr>
      <w:spacing w:beforeLines="0" w:afterLines="0"/>
    </w:pPr>
    <w:rPr>
      <w:rFonts w:ascii="宋体" w:eastAsia="宋体"/>
    </w:rPr>
  </w:style>
  <w:style w:type="paragraph" w:customStyle="1" w:styleId="129">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13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1">
    <w:name w:val="示例后文字"/>
    <w:basedOn w:val="23"/>
    <w:next w:val="23"/>
    <w:qFormat/>
    <w:uiPriority w:val="0"/>
    <w:pPr>
      <w:ind w:firstLine="360"/>
    </w:pPr>
    <w:rPr>
      <w:sz w:val="18"/>
    </w:rPr>
  </w:style>
  <w:style w:type="paragraph" w:customStyle="1" w:styleId="13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33">
    <w:name w:val="目次、标准名称标题"/>
    <w:basedOn w:val="1"/>
    <w:next w:val="2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character" w:customStyle="1" w:styleId="134">
    <w:name w:val="段 Char"/>
    <w:link w:val="23"/>
    <w:qFormat/>
    <w:uiPriority w:val="0"/>
    <w:rPr>
      <w:rFonts w:ascii="宋体"/>
      <w:sz w:val="21"/>
      <w:lang w:val="en-US" w:eastAsia="zh-CN" w:bidi="ar-SA"/>
    </w:rPr>
  </w:style>
  <w:style w:type="character" w:customStyle="1" w:styleId="135">
    <w:name w:val="发布"/>
    <w:qFormat/>
    <w:uiPriority w:val="0"/>
    <w:rPr>
      <w:rFonts w:ascii="黑体" w:eastAsia="黑体"/>
      <w:spacing w:val="85"/>
      <w:w w:val="100"/>
      <w:position w:val="3"/>
      <w:sz w:val="28"/>
      <w:szCs w:val="28"/>
    </w:rPr>
  </w:style>
  <w:style w:type="character" w:customStyle="1" w:styleId="136">
    <w:name w:val="首示例 Char"/>
    <w:link w:val="111"/>
    <w:qFormat/>
    <w:uiPriority w:val="0"/>
    <w:rPr>
      <w:rFonts w:ascii="宋体" w:hAnsi="宋体"/>
      <w:kern w:val="2"/>
      <w:sz w:val="18"/>
      <w:szCs w:val="18"/>
      <w:lang w:val="en-US" w:eastAsia="zh-CN" w:bidi="ar-SA"/>
    </w:rPr>
  </w:style>
  <w:style w:type="character" w:customStyle="1" w:styleId="137">
    <w:name w:val="附录公式 Char"/>
    <w:basedOn w:val="134"/>
    <w:link w:val="127"/>
    <w:qFormat/>
    <w:uiPriority w:val="0"/>
    <w:rPr>
      <w:rFonts w:ascii="宋体"/>
      <w:sz w:val="21"/>
      <w:lang w:val="en-US" w:eastAsia="zh-CN" w:bidi="ar-SA"/>
    </w:rPr>
  </w:style>
  <w:style w:type="character" w:customStyle="1" w:styleId="138">
    <w:name w:val="批注框文本 Char"/>
    <w:basedOn w:val="34"/>
    <w:link w:val="16"/>
    <w:qFormat/>
    <w:uiPriority w:val="0"/>
    <w:rPr>
      <w:kern w:val="2"/>
      <w:sz w:val="18"/>
      <w:szCs w:val="18"/>
    </w:rPr>
  </w:style>
  <w:style w:type="character" w:customStyle="1" w:styleId="139">
    <w:name w:val="日期 Char"/>
    <w:basedOn w:val="34"/>
    <w:link w:val="14"/>
    <w:qFormat/>
    <w:uiPriority w:val="0"/>
    <w:rPr>
      <w:kern w:val="2"/>
      <w:sz w:val="21"/>
      <w:szCs w:val="24"/>
    </w:rPr>
  </w:style>
  <w:style w:type="paragraph" w:customStyle="1" w:styleId="140">
    <w:name w:val="Body text|1"/>
    <w:basedOn w:val="1"/>
    <w:qFormat/>
    <w:uiPriority w:val="0"/>
    <w:pPr>
      <w:widowControl w:val="0"/>
      <w:shd w:val="clear" w:color="auto" w:fill="auto"/>
      <w:spacing w:line="331" w:lineRule="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013;&#21704;&#22269;&#38469;&#26631;&#20934;&#25991;&#26412;.doc.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中哈国际标准文本.doc</Template>
  <Pages>8</Pages>
  <Words>3034</Words>
  <Characters>3404</Characters>
  <Lines>60</Lines>
  <Paragraphs>17</Paragraphs>
  <TotalTime>11</TotalTime>
  <ScaleCrop>false</ScaleCrop>
  <LinksUpToDate>false</LinksUpToDate>
  <CharactersWithSpaces>3540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2021-08-05T03:24:00Z</dcterms:created>
  <cp:lastPrinted>2021-12-31T03:10:00Z</cp:lastPrinted>
  <dcterms:modified xsi:type="dcterms:W3CDTF">2024-09-05T01:38:42Z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7A0D4C34C3634EEC80CB0669E99C11B6_13</vt:lpwstr>
  </property>
  <property fmtid="{D5CDD505-2E9C-101B-9397-08002B2CF9AE}" pid="4" name="commondata">
    <vt:lpwstr>eyJoZGlkIjoiOTlmNjQ0ZDk5MzdmY2VmNDk5YzA4ZGZkNjlkMmE0YjQifQ==</vt:lpwstr>
  </property>
</Properties>
</file>